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2E74B5"/>
          <w:sz w:val="24"/>
          <w:szCs w:val="24"/>
        </w:rPr>
        <w:t xml:space="preserve">SAP RISE with SAP S/4HANA Cloud</w:t>
      </w:r>
    </w:p>
    <w:p>
      <w:pPr>
        <w:spacing w:after="400"/>
      </w:pPr>
      <w:r>
        <w:rPr>
          <w:b/>
          <w:bCs/>
          <w:color w:val="1F3864"/>
          <w:sz w:val="56"/>
          <w:szCs w:val="56"/>
        </w:rPr>
        <w:t xml:space="preserve">Data Architecture</w:t>
      </w:r>
    </w:p>
    <w:p>
      <w:pPr>
        <w:spacing w:after="1200"/>
      </w:pPr>
      <w:r>
        <w:rPr>
          <w:i/>
          <w:iCs/>
          <w:color w:val="595959"/>
          <w:sz w:val="28"/>
          <w:szCs w:val="28"/>
        </w:rPr>
        <w:t xml:space="preserve">TOGAF ADM Phase C – SAP Enterprise Repository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F3864" w:val="clear"/>
            <w:tcMar>
              <w:top w:type="dxa" w:w="80"/>
              <w:left w:type="dxa" w:w="120"/>
              <w:bottom w:type="dxa" w:w="80"/>
              <w:right w:type="dxa" w:w="120"/>
            </w:tcMar>
            <w:vAlign w:val="center"/>
          </w:tcPr>
          <w:p>
            <w:r>
              <w:rPr>
                <w:b/>
                <w:bCs/>
                <w:color w:val="FFFFFF"/>
                <w:sz w:val="20"/>
                <w:szCs w:val="20"/>
              </w:rPr>
              <w:t xml:space="preserve">Field</w:t>
            </w:r>
          </w:p>
        </w:tc>
        <w:tc>
          <w:tcPr>
            <w:tcW w:type="dxa" w:w="6500"/>
            <w:shd w:fill="1F3864" w:val="clear"/>
            <w:tcMar>
              <w:top w:type="dxa" w:w="80"/>
              <w:left w:type="dxa" w:w="120"/>
              <w:bottom w:type="dxa" w:w="80"/>
              <w:right w:type="dxa" w:w="120"/>
            </w:tcMar>
            <w:vAlign w:val="center"/>
          </w:tcPr>
          <w:p>
            <w:r>
              <w:rPr>
                <w:b/>
                <w:bCs/>
                <w:color w:val="FFFFFF"/>
                <w:sz w:val="20"/>
                <w:szCs w:val="20"/>
              </w:rPr>
              <w:t xml:space="preserve">Value</w:t>
            </w:r>
          </w:p>
        </w:tc>
      </w:tr>
      <w:tr>
        <w:tc>
          <w:tcPr>
            <w:tcW w:type="dxa" w:w="3000"/>
            <w:tcMar>
              <w:top w:type="dxa" w:w="80"/>
              <w:left w:type="dxa" w:w="120"/>
              <w:bottom w:type="dxa" w:w="80"/>
              <w:right w:type="dxa" w:w="120"/>
            </w:tcMar>
            <w:vAlign w:val="center"/>
          </w:tcPr>
          <w:p>
            <w:r>
              <w:rPr>
                <w:b w:val="false"/>
                <w:bCs w:val="false"/>
                <w:color w:val="000000"/>
                <w:sz w:val="20"/>
                <w:szCs w:val="20"/>
              </w:rPr>
              <w:t xml:space="preserve">Programme</w:t>
            </w:r>
          </w:p>
        </w:tc>
        <w:tc>
          <w:tcPr>
            <w:tcW w:type="dxa" w:w="6500"/>
            <w:tcMar>
              <w:top w:type="dxa" w:w="80"/>
              <w:left w:type="dxa" w:w="120"/>
              <w:bottom w:type="dxa" w:w="80"/>
              <w:right w:type="dxa" w:w="120"/>
            </w:tcMar>
            <w:vAlign w:val="center"/>
          </w:tcPr>
          <w:p>
            <w:r>
              <w:rPr>
                <w:b w:val="false"/>
                <w:bCs w:val="false"/>
                <w:color w:val="000000"/>
                <w:sz w:val="20"/>
                <w:szCs w:val="20"/>
              </w:rPr>
              <w:t xml:space="preserve">SAP RISE with SAP S/4HANA Cloud – Enterprise Transformation</w:t>
            </w:r>
          </w:p>
        </w:tc>
      </w:tr>
      <w:tr>
        <w:tc>
          <w:tcPr>
            <w:tcW w:type="dxa" w:w="3000"/>
            <w:shd w:fill="F2F2F2" w:val="clear"/>
            <w:tcMar>
              <w:top w:type="dxa" w:w="80"/>
              <w:left w:type="dxa" w:w="120"/>
              <w:bottom w:type="dxa" w:w="80"/>
              <w:right w:type="dxa" w:w="120"/>
            </w:tcMar>
            <w:vAlign w:val="center"/>
          </w:tcPr>
          <w:p>
            <w:r>
              <w:rPr>
                <w:b w:val="false"/>
                <w:bCs w:val="false"/>
                <w:color w:val="000000"/>
                <w:sz w:val="20"/>
                <w:szCs w:val="20"/>
              </w:rPr>
              <w:t xml:space="preserve">TOGAF ADM Phase</w:t>
            </w:r>
          </w:p>
        </w:tc>
        <w:tc>
          <w:tcPr>
            <w:tcW w:type="dxa" w:w="6500"/>
            <w:shd w:fill="F2F2F2" w:val="clear"/>
            <w:tcMar>
              <w:top w:type="dxa" w:w="80"/>
              <w:left w:type="dxa" w:w="120"/>
              <w:bottom w:type="dxa" w:w="80"/>
              <w:right w:type="dxa" w:w="120"/>
            </w:tcMar>
            <w:vAlign w:val="center"/>
          </w:tcPr>
          <w:p>
            <w:r>
              <w:rPr>
                <w:b w:val="false"/>
                <w:bCs w:val="false"/>
                <w:color w:val="000000"/>
                <w:sz w:val="20"/>
                <w:szCs w:val="20"/>
              </w:rPr>
              <w:t xml:space="preserve">Phase C – Information Systems Architecture (Data)</w:t>
            </w:r>
          </w:p>
        </w:tc>
      </w:tr>
      <w:tr>
        <w:tc>
          <w:tcPr>
            <w:tcW w:type="dxa" w:w="3000"/>
            <w:tcMar>
              <w:top w:type="dxa" w:w="80"/>
              <w:left w:type="dxa" w:w="120"/>
              <w:bottom w:type="dxa" w:w="80"/>
              <w:right w:type="dxa" w:w="120"/>
            </w:tcMar>
            <w:vAlign w:val="center"/>
          </w:tcPr>
          <w:p>
            <w:r>
              <w:rPr>
                <w:b w:val="false"/>
                <w:bCs w:val="false"/>
                <w:color w:val="000000"/>
                <w:sz w:val="20"/>
                <w:szCs w:val="20"/>
              </w:rPr>
              <w:t xml:space="preserve">Architecture Repository</w:t>
            </w:r>
          </w:p>
        </w:tc>
        <w:tc>
          <w:tcPr>
            <w:tcW w:type="dxa" w:w="6500"/>
            <w:tcMar>
              <w:top w:type="dxa" w:w="80"/>
              <w:left w:type="dxa" w:w="120"/>
              <w:bottom w:type="dxa" w:w="80"/>
              <w:right w:type="dxa" w:w="120"/>
            </w:tcMar>
            <w:vAlign w:val="center"/>
          </w:tcPr>
          <w:p>
            <w:r>
              <w:rPr>
                <w:b w:val="false"/>
                <w:bCs w:val="false"/>
                <w:color w:val="000000"/>
                <w:sz w:val="20"/>
                <w:szCs w:val="20"/>
              </w:rPr>
              <w:t xml:space="preserve">SAP Enterprise Repository (ArchiMate 3.x model)</w:t>
            </w:r>
          </w:p>
        </w:tc>
      </w:tr>
      <w:tr>
        <w:tc>
          <w:tcPr>
            <w:tcW w:type="dxa" w:w="3000"/>
            <w:shd w:fill="F2F2F2" w:val="clear"/>
            <w:tcMar>
              <w:top w:type="dxa" w:w="80"/>
              <w:left w:type="dxa" w:w="120"/>
              <w:bottom w:type="dxa" w:w="80"/>
              <w:right w:type="dxa" w:w="120"/>
            </w:tcMar>
            <w:vAlign w:val="center"/>
          </w:tcPr>
          <w:p>
            <w:r>
              <w:rPr>
                <w:b w:val="false"/>
                <w:bCs w:val="false"/>
                <w:color w:val="000000"/>
                <w:sz w:val="20"/>
                <w:szCs w:val="20"/>
              </w:rPr>
              <w:t xml:space="preserve">Document Status</w:t>
            </w:r>
          </w:p>
        </w:tc>
        <w:tc>
          <w:tcPr>
            <w:tcW w:type="dxa" w:w="6500"/>
            <w:shd w:fill="F2F2F2" w:val="clear"/>
            <w:tcMar>
              <w:top w:type="dxa" w:w="80"/>
              <w:left w:type="dxa" w:w="120"/>
              <w:bottom w:type="dxa" w:w="80"/>
              <w:right w:type="dxa" w:w="120"/>
            </w:tcMar>
            <w:vAlign w:val="center"/>
          </w:tcPr>
          <w:p>
            <w:r>
              <w:rPr>
                <w:b w:val="false"/>
                <w:bCs w:val="false"/>
                <w:color w:val="000000"/>
                <w:sz w:val="20"/>
                <w:szCs w:val="20"/>
              </w:rPr>
              <w:t xml:space="preserve">Draft for Review</w:t>
            </w:r>
          </w:p>
        </w:tc>
      </w:tr>
      <w:tr>
        <w:tc>
          <w:tcPr>
            <w:tcW w:type="dxa" w:w="3000"/>
            <w:tcMar>
              <w:top w:type="dxa" w:w="80"/>
              <w:left w:type="dxa" w:w="120"/>
              <w:bottom w:type="dxa" w:w="80"/>
              <w:right w:type="dxa" w:w="120"/>
            </w:tcMar>
            <w:vAlign w:val="center"/>
          </w:tcPr>
          <w:p>
            <w:r>
              <w:rPr>
                <w:b w:val="false"/>
                <w:bCs w:val="false"/>
                <w:color w:val="000000"/>
                <w:sz w:val="20"/>
                <w:szCs w:val="20"/>
              </w:rPr>
              <w:t xml:space="preserve">Version</w:t>
            </w:r>
          </w:p>
        </w:tc>
        <w:tc>
          <w:tcPr>
            <w:tcW w:type="dxa" w:w="6500"/>
            <w:tcMar>
              <w:top w:type="dxa" w:w="80"/>
              <w:left w:type="dxa" w:w="120"/>
              <w:bottom w:type="dxa" w:w="80"/>
              <w:right w:type="dxa" w:w="120"/>
            </w:tcMar>
            <w:vAlign w:val="center"/>
          </w:tcPr>
          <w:p>
            <w:r>
              <w:rPr>
                <w:b w:val="false"/>
                <w:bCs w:val="false"/>
                <w:color w:val="000000"/>
                <w:sz w:val="20"/>
                <w:szCs w:val="20"/>
              </w:rPr>
              <w:t xml:space="preserve">0.1</w:t>
            </w:r>
          </w:p>
        </w:tc>
      </w:tr>
      <w:tr>
        <w:tc>
          <w:tcPr>
            <w:tcW w:type="dxa" w:w="3000"/>
            <w:shd w:fill="F2F2F2" w:val="clear"/>
            <w:tcMar>
              <w:top w:type="dxa" w:w="80"/>
              <w:left w:type="dxa" w:w="120"/>
              <w:bottom w:type="dxa" w:w="80"/>
              <w:right w:type="dxa" w:w="120"/>
            </w:tcMar>
            <w:vAlign w:val="center"/>
          </w:tcPr>
          <w:p>
            <w:r>
              <w:rPr>
                <w:b w:val="false"/>
                <w:bCs w:val="false"/>
                <w:color w:val="000000"/>
                <w:sz w:val="20"/>
                <w:szCs w:val="20"/>
              </w:rPr>
              <w:t xml:space="preserve">Date</w:t>
            </w:r>
          </w:p>
        </w:tc>
        <w:tc>
          <w:tcPr>
            <w:tcW w:type="dxa" w:w="6500"/>
            <w:shd w:fill="F2F2F2" w:val="clear"/>
            <w:tcMar>
              <w:top w:type="dxa" w:w="80"/>
              <w:left w:type="dxa" w:w="120"/>
              <w:bottom w:type="dxa" w:w="80"/>
              <w:right w:type="dxa" w:w="120"/>
            </w:tcMar>
            <w:vAlign w:val="center"/>
          </w:tcPr>
          <w:p>
            <w:r>
              <w:rPr>
                <w:b w:val="false"/>
                <w:bCs w:val="false"/>
                <w:color w:val="000000"/>
                <w:sz w:val="20"/>
                <w:szCs w:val="20"/>
              </w:rPr>
              <w:t xml:space="preserve">2026-08-13</w:t>
            </w:r>
          </w:p>
        </w:tc>
      </w:tr>
      <w:tr>
        <w:tc>
          <w:tcPr>
            <w:tcW w:type="dxa" w:w="3000"/>
            <w:tcMar>
              <w:top w:type="dxa" w:w="80"/>
              <w:left w:type="dxa" w:w="120"/>
              <w:bottom w:type="dxa" w:w="80"/>
              <w:right w:type="dxa" w:w="120"/>
            </w:tcMar>
            <w:vAlign w:val="center"/>
          </w:tcPr>
          <w:p>
            <w:r>
              <w:rPr>
                <w:b w:val="false"/>
                <w:bCs w:val="false"/>
                <w:color w:val="000000"/>
                <w:sz w:val="20"/>
                <w:szCs w:val="20"/>
              </w:rPr>
              <w:t xml:space="preserve">Prepared By</w:t>
            </w:r>
          </w:p>
        </w:tc>
        <w:tc>
          <w:tcPr>
            <w:tcW w:type="dxa" w:w="6500"/>
            <w:tcMar>
              <w:top w:type="dxa" w:w="80"/>
              <w:left w:type="dxa" w:w="120"/>
              <w:bottom w:type="dxa" w:w="80"/>
              <w:right w:type="dxa" w:w="120"/>
            </w:tcMar>
            <w:vAlign w:val="center"/>
          </w:tcPr>
          <w:p>
            <w:r>
              <w:rPr>
                <w:b w:val="false"/>
                <w:bCs w:val="false"/>
                <w:color w:val="000000"/>
                <w:sz w:val="20"/>
                <w:szCs w:val="20"/>
              </w:rPr>
              <w:t xml:space="preserve">Enterprise Architecture Team</w:t>
            </w:r>
          </w:p>
        </w:tc>
      </w:tr>
      <w:tr>
        <w:tc>
          <w:tcPr>
            <w:tcW w:type="dxa" w:w="3000"/>
            <w:shd w:fill="F2F2F2" w:val="clear"/>
            <w:tcMar>
              <w:top w:type="dxa" w:w="80"/>
              <w:left w:type="dxa" w:w="120"/>
              <w:bottom w:type="dxa" w:w="80"/>
              <w:right w:type="dxa" w:w="120"/>
            </w:tcMar>
            <w:vAlign w:val="center"/>
          </w:tcPr>
          <w:p>
            <w:r>
              <w:rPr>
                <w:b w:val="false"/>
                <w:bCs w:val="false"/>
                <w:color w:val="000000"/>
                <w:sz w:val="20"/>
                <w:szCs w:val="20"/>
              </w:rPr>
              <w:t xml:space="preserve">Classification</w:t>
            </w:r>
          </w:p>
        </w:tc>
        <w:tc>
          <w:tcPr>
            <w:tcW w:type="dxa" w:w="6500"/>
            <w:shd w:fill="F2F2F2" w:val="clear"/>
            <w:tcMar>
              <w:top w:type="dxa" w:w="80"/>
              <w:left w:type="dxa" w:w="120"/>
              <w:bottom w:type="dxa" w:w="80"/>
              <w:right w:type="dxa" w:w="120"/>
            </w:tcMar>
            <w:vAlign w:val="center"/>
          </w:tcPr>
          <w:p>
            <w:r>
              <w:rPr>
                <w:b w:val="false"/>
                <w:bCs w:val="false"/>
                <w:color w:val="000000"/>
                <w:sz w:val="20"/>
                <w:szCs w:val="20"/>
              </w:rPr>
              <w:t xml:space="preserve">Internal</w:t>
            </w:r>
          </w:p>
        </w:tc>
      </w:tr>
    </w:tbl>
    <w:p>
      <w:r>
        <w:br w:type="page"/>
      </w:r>
    </w:p>
    <w:p>
      <w:pPr>
        <w:pStyle w:val="Heading1"/>
        <w:spacing w:after="160" w:before="360"/>
      </w:pPr>
      <w:r>
        <w:rPr>
          <w:color w:val="1F3864"/>
        </w:rPr>
        <w:t xml:space="preserve">1. Introduction</w:t>
      </w:r>
    </w:p>
    <w:p>
      <w:pPr>
        <w:spacing w:after="160"/>
      </w:pPr>
      <w:r>
        <w:rPr>
          <w:b w:val="false"/>
          <w:bCs w:val="false"/>
          <w:i w:val="false"/>
          <w:iCs w:val="false"/>
        </w:rPr>
        <w:t xml:space="preserve">This Data Architecture defines the core data entities exchanged across the SAP RISE with SAP S/4HANA Cloud landscape, their relationship to the Business Objects defined in the Business Architecture (Phase B), and the Application Components that own and access them. Master Data Governance is treated as a first-class concern given the number of application components in the target landscape.</w:t>
      </w:r>
    </w:p>
    <w:p>
      <w:pPr>
        <w:pStyle w:val="Heading1"/>
        <w:spacing w:after="160" w:before="360"/>
      </w:pPr>
      <w:r>
        <w:rPr>
          <w:color w:val="1F3864"/>
        </w:rPr>
        <w:t xml:space="preserve">2. Core Data Objects</w:t>
      </w:r>
    </w:p>
    <w:p>
      <w:pPr>
        <w:spacing w:after="160"/>
      </w:pPr>
      <w:r>
        <w:rPr>
          <w:b w:val="false"/>
          <w:bCs w:val="false"/>
          <w:i w:val="false"/>
          <w:iCs w:val="false"/>
        </w:rPr>
        <w:t xml:space="preserve">The following data objects are modelled in the Application layer of the SAP Enterprise Repository and are the primary subjects of data migration: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8200"/>
      </w:tblGrid>
      <w:tr>
        <w:trPr>
          <w:tblHeader/>
        </w:trPr>
        <w:tc>
          <w:tcPr>
            <w:tcW w:type="dxa" w:w="800"/>
            <w:shd w:fill="1F3864" w:val="clear"/>
            <w:tcMar>
              <w:top w:type="dxa" w:w="80"/>
              <w:left w:type="dxa" w:w="120"/>
              <w:bottom w:type="dxa" w:w="80"/>
              <w:right w:type="dxa" w:w="120"/>
            </w:tcMar>
            <w:vAlign w:val="center"/>
          </w:tcPr>
          <w:p>
            <w:r>
              <w:rPr>
                <w:b/>
                <w:bCs/>
                <w:color w:val="FFFFFF"/>
                <w:sz w:val="20"/>
                <w:szCs w:val="20"/>
              </w:rPr>
              <w:t xml:space="preserve">#</w:t>
            </w:r>
          </w:p>
        </w:tc>
        <w:tc>
          <w:tcPr>
            <w:tcW w:type="dxa" w:w="8200"/>
            <w:shd w:fill="1F3864" w:val="clear"/>
            <w:tcMar>
              <w:top w:type="dxa" w:w="80"/>
              <w:left w:type="dxa" w:w="120"/>
              <w:bottom w:type="dxa" w:w="80"/>
              <w:right w:type="dxa" w:w="120"/>
            </w:tcMar>
            <w:vAlign w:val="center"/>
          </w:tcPr>
          <w:p>
            <w:r>
              <w:rPr>
                <w:b/>
                <w:bCs/>
                <w:color w:val="FFFFFF"/>
                <w:sz w:val="20"/>
                <w:szCs w:val="20"/>
              </w:rPr>
              <w:t xml:space="preserve">Data Object</w:t>
            </w:r>
          </w:p>
        </w:tc>
      </w:tr>
      <w:tr>
        <w:tc>
          <w:tcPr>
            <w:tcW w:type="dxa" w:w="800"/>
            <w:tcMar>
              <w:top w:type="dxa" w:w="80"/>
              <w:left w:type="dxa" w:w="120"/>
              <w:bottom w:type="dxa" w:w="80"/>
              <w:right w:type="dxa" w:w="120"/>
            </w:tcMar>
            <w:vAlign w:val="center"/>
          </w:tcPr>
          <w:p>
            <w:r>
              <w:rPr>
                <w:b w:val="false"/>
                <w:bCs w:val="false"/>
                <w:color w:val="000000"/>
                <w:sz w:val="20"/>
                <w:szCs w:val="20"/>
              </w:rPr>
              <w:t xml:space="preserve">1</w:t>
            </w:r>
          </w:p>
        </w:tc>
        <w:tc>
          <w:tcPr>
            <w:tcW w:type="dxa" w:w="8200"/>
            <w:tcMar>
              <w:top w:type="dxa" w:w="80"/>
              <w:left w:type="dxa" w:w="120"/>
              <w:bottom w:type="dxa" w:w="80"/>
              <w:right w:type="dxa" w:w="120"/>
            </w:tcMar>
            <w:vAlign w:val="center"/>
          </w:tcPr>
          <w:p>
            <w:r>
              <w:rPr>
                <w:b w:val="false"/>
                <w:bCs w:val="false"/>
                <w:color w:val="000000"/>
                <w:sz w:val="20"/>
                <w:szCs w:val="20"/>
              </w:rPr>
              <w:t xml:space="preserve">Customer Master</w:t>
            </w:r>
          </w:p>
        </w:tc>
      </w:tr>
      <w:tr>
        <w:tc>
          <w:tcPr>
            <w:tcW w:type="dxa" w:w="800"/>
            <w:shd w:fill="F2F2F2" w:val="clear"/>
            <w:tcMar>
              <w:top w:type="dxa" w:w="80"/>
              <w:left w:type="dxa" w:w="120"/>
              <w:bottom w:type="dxa" w:w="80"/>
              <w:right w:type="dxa" w:w="120"/>
            </w:tcMar>
            <w:vAlign w:val="center"/>
          </w:tcPr>
          <w:p>
            <w:r>
              <w:rPr>
                <w:b w:val="false"/>
                <w:bCs w:val="false"/>
                <w:color w:val="000000"/>
                <w:sz w:val="20"/>
                <w:szCs w:val="20"/>
              </w:rPr>
              <w:t xml:space="preserve">2</w:t>
            </w:r>
          </w:p>
        </w:tc>
        <w:tc>
          <w:tcPr>
            <w:tcW w:type="dxa" w:w="8200"/>
            <w:shd w:fill="F2F2F2" w:val="clear"/>
            <w:tcMar>
              <w:top w:type="dxa" w:w="80"/>
              <w:left w:type="dxa" w:w="120"/>
              <w:bottom w:type="dxa" w:w="80"/>
              <w:right w:type="dxa" w:w="120"/>
            </w:tcMar>
            <w:vAlign w:val="center"/>
          </w:tcPr>
          <w:p>
            <w:r>
              <w:rPr>
                <w:b w:val="false"/>
                <w:bCs w:val="false"/>
                <w:color w:val="000000"/>
                <w:sz w:val="20"/>
                <w:szCs w:val="20"/>
              </w:rPr>
              <w:t xml:space="preserve">Vendor Master</w:t>
            </w:r>
          </w:p>
        </w:tc>
      </w:tr>
      <w:tr>
        <w:tc>
          <w:tcPr>
            <w:tcW w:type="dxa" w:w="800"/>
            <w:tcMar>
              <w:top w:type="dxa" w:w="80"/>
              <w:left w:type="dxa" w:w="120"/>
              <w:bottom w:type="dxa" w:w="80"/>
              <w:right w:type="dxa" w:w="120"/>
            </w:tcMar>
            <w:vAlign w:val="center"/>
          </w:tcPr>
          <w:p>
            <w:r>
              <w:rPr>
                <w:b w:val="false"/>
                <w:bCs w:val="false"/>
                <w:color w:val="000000"/>
                <w:sz w:val="20"/>
                <w:szCs w:val="20"/>
              </w:rPr>
              <w:t xml:space="preserve">3</w:t>
            </w:r>
          </w:p>
        </w:tc>
        <w:tc>
          <w:tcPr>
            <w:tcW w:type="dxa" w:w="8200"/>
            <w:tcMar>
              <w:top w:type="dxa" w:w="80"/>
              <w:left w:type="dxa" w:w="120"/>
              <w:bottom w:type="dxa" w:w="80"/>
              <w:right w:type="dxa" w:w="120"/>
            </w:tcMar>
            <w:vAlign w:val="center"/>
          </w:tcPr>
          <w:p>
            <w:r>
              <w:rPr>
                <w:b w:val="false"/>
                <w:bCs w:val="false"/>
                <w:color w:val="000000"/>
                <w:sz w:val="20"/>
                <w:szCs w:val="20"/>
              </w:rPr>
              <w:t xml:space="preserve">Material Master</w:t>
            </w:r>
          </w:p>
        </w:tc>
      </w:tr>
      <w:tr>
        <w:tc>
          <w:tcPr>
            <w:tcW w:type="dxa" w:w="800"/>
            <w:shd w:fill="F2F2F2" w:val="clear"/>
            <w:tcMar>
              <w:top w:type="dxa" w:w="80"/>
              <w:left w:type="dxa" w:w="120"/>
              <w:bottom w:type="dxa" w:w="80"/>
              <w:right w:type="dxa" w:w="120"/>
            </w:tcMar>
            <w:vAlign w:val="center"/>
          </w:tcPr>
          <w:p>
            <w:r>
              <w:rPr>
                <w:b w:val="false"/>
                <w:bCs w:val="false"/>
                <w:color w:val="000000"/>
                <w:sz w:val="20"/>
                <w:szCs w:val="20"/>
              </w:rPr>
              <w:t xml:space="preserve">4</w:t>
            </w:r>
          </w:p>
        </w:tc>
        <w:tc>
          <w:tcPr>
            <w:tcW w:type="dxa" w:w="8200"/>
            <w:shd w:fill="F2F2F2" w:val="clear"/>
            <w:tcMar>
              <w:top w:type="dxa" w:w="80"/>
              <w:left w:type="dxa" w:w="120"/>
              <w:bottom w:type="dxa" w:w="80"/>
              <w:right w:type="dxa" w:w="120"/>
            </w:tcMar>
            <w:vAlign w:val="center"/>
          </w:tcPr>
          <w:p>
            <w:r>
              <w:rPr>
                <w:b w:val="false"/>
                <w:bCs w:val="false"/>
                <w:color w:val="000000"/>
                <w:sz w:val="20"/>
                <w:szCs w:val="20"/>
              </w:rPr>
              <w:t xml:space="preserve">Financial Document</w:t>
            </w:r>
          </w:p>
        </w:tc>
      </w:tr>
      <w:tr>
        <w:tc>
          <w:tcPr>
            <w:tcW w:type="dxa" w:w="800"/>
            <w:tcMar>
              <w:top w:type="dxa" w:w="80"/>
              <w:left w:type="dxa" w:w="120"/>
              <w:bottom w:type="dxa" w:w="80"/>
              <w:right w:type="dxa" w:w="120"/>
            </w:tcMar>
            <w:vAlign w:val="center"/>
          </w:tcPr>
          <w:p>
            <w:r>
              <w:rPr>
                <w:b w:val="false"/>
                <w:bCs w:val="false"/>
                <w:color w:val="000000"/>
                <w:sz w:val="20"/>
                <w:szCs w:val="20"/>
              </w:rPr>
              <w:t xml:space="preserve">5</w:t>
            </w:r>
          </w:p>
        </w:tc>
        <w:tc>
          <w:tcPr>
            <w:tcW w:type="dxa" w:w="8200"/>
            <w:tcMar>
              <w:top w:type="dxa" w:w="80"/>
              <w:left w:type="dxa" w:w="120"/>
              <w:bottom w:type="dxa" w:w="80"/>
              <w:right w:type="dxa" w:w="120"/>
            </w:tcMar>
            <w:vAlign w:val="center"/>
          </w:tcPr>
          <w:p>
            <w:r>
              <w:rPr>
                <w:b w:val="false"/>
                <w:bCs w:val="false"/>
                <w:color w:val="000000"/>
                <w:sz w:val="20"/>
                <w:szCs w:val="20"/>
              </w:rPr>
              <w:t xml:space="preserve">Sales Order</w:t>
            </w:r>
          </w:p>
        </w:tc>
      </w:tr>
      <w:tr>
        <w:tc>
          <w:tcPr>
            <w:tcW w:type="dxa" w:w="800"/>
            <w:shd w:fill="F2F2F2" w:val="clear"/>
            <w:tcMar>
              <w:top w:type="dxa" w:w="80"/>
              <w:left w:type="dxa" w:w="120"/>
              <w:bottom w:type="dxa" w:w="80"/>
              <w:right w:type="dxa" w:w="120"/>
            </w:tcMar>
            <w:vAlign w:val="center"/>
          </w:tcPr>
          <w:p>
            <w:r>
              <w:rPr>
                <w:b w:val="false"/>
                <w:bCs w:val="false"/>
                <w:color w:val="000000"/>
                <w:sz w:val="20"/>
                <w:szCs w:val="20"/>
              </w:rPr>
              <w:t xml:space="preserve">6</w:t>
            </w:r>
          </w:p>
        </w:tc>
        <w:tc>
          <w:tcPr>
            <w:tcW w:type="dxa" w:w="8200"/>
            <w:shd w:fill="F2F2F2" w:val="clear"/>
            <w:tcMar>
              <w:top w:type="dxa" w:w="80"/>
              <w:left w:type="dxa" w:w="120"/>
              <w:bottom w:type="dxa" w:w="80"/>
              <w:right w:type="dxa" w:w="120"/>
            </w:tcMar>
            <w:vAlign w:val="center"/>
          </w:tcPr>
          <w:p>
            <w:r>
              <w:rPr>
                <w:b w:val="false"/>
                <w:bCs w:val="false"/>
                <w:color w:val="000000"/>
                <w:sz w:val="20"/>
                <w:szCs w:val="20"/>
              </w:rPr>
              <w:t xml:space="preserve">Purchase Order</w:t>
            </w:r>
          </w:p>
        </w:tc>
      </w:tr>
      <w:tr>
        <w:tc>
          <w:tcPr>
            <w:tcW w:type="dxa" w:w="800"/>
            <w:tcMar>
              <w:top w:type="dxa" w:w="80"/>
              <w:left w:type="dxa" w:w="120"/>
              <w:bottom w:type="dxa" w:w="80"/>
              <w:right w:type="dxa" w:w="120"/>
            </w:tcMar>
            <w:vAlign w:val="center"/>
          </w:tcPr>
          <w:p>
            <w:r>
              <w:rPr>
                <w:b w:val="false"/>
                <w:bCs w:val="false"/>
                <w:color w:val="000000"/>
                <w:sz w:val="20"/>
                <w:szCs w:val="20"/>
              </w:rPr>
              <w:t xml:space="preserve">7</w:t>
            </w:r>
          </w:p>
        </w:tc>
        <w:tc>
          <w:tcPr>
            <w:tcW w:type="dxa" w:w="8200"/>
            <w:tcMar>
              <w:top w:type="dxa" w:w="80"/>
              <w:left w:type="dxa" w:w="120"/>
              <w:bottom w:type="dxa" w:w="80"/>
              <w:right w:type="dxa" w:w="120"/>
            </w:tcMar>
            <w:vAlign w:val="center"/>
          </w:tcPr>
          <w:p>
            <w:r>
              <w:rPr>
                <w:b w:val="false"/>
                <w:bCs w:val="false"/>
                <w:color w:val="000000"/>
                <w:sz w:val="20"/>
                <w:szCs w:val="20"/>
              </w:rPr>
              <w:t xml:space="preserve">Invoice</w:t>
            </w:r>
          </w:p>
        </w:tc>
      </w:tr>
      <w:tr>
        <w:tc>
          <w:tcPr>
            <w:tcW w:type="dxa" w:w="800"/>
            <w:shd w:fill="F2F2F2" w:val="clear"/>
            <w:tcMar>
              <w:top w:type="dxa" w:w="80"/>
              <w:left w:type="dxa" w:w="120"/>
              <w:bottom w:type="dxa" w:w="80"/>
              <w:right w:type="dxa" w:w="120"/>
            </w:tcMar>
            <w:vAlign w:val="center"/>
          </w:tcPr>
          <w:p>
            <w:r>
              <w:rPr>
                <w:b w:val="false"/>
                <w:bCs w:val="false"/>
                <w:color w:val="000000"/>
                <w:sz w:val="20"/>
                <w:szCs w:val="20"/>
              </w:rPr>
              <w:t xml:space="preserve">8</w:t>
            </w:r>
          </w:p>
        </w:tc>
        <w:tc>
          <w:tcPr>
            <w:tcW w:type="dxa" w:w="8200"/>
            <w:shd w:fill="F2F2F2" w:val="clear"/>
            <w:tcMar>
              <w:top w:type="dxa" w:w="80"/>
              <w:left w:type="dxa" w:w="120"/>
              <w:bottom w:type="dxa" w:w="80"/>
              <w:right w:type="dxa" w:w="120"/>
            </w:tcMar>
            <w:vAlign w:val="center"/>
          </w:tcPr>
          <w:p>
            <w:r>
              <w:rPr>
                <w:b w:val="false"/>
                <w:bCs w:val="false"/>
                <w:color w:val="000000"/>
                <w:sz w:val="20"/>
                <w:szCs w:val="20"/>
              </w:rPr>
              <w:t xml:space="preserve">Goods Movement Document</w:t>
            </w:r>
          </w:p>
        </w:tc>
      </w:tr>
      <w:tr>
        <w:tc>
          <w:tcPr>
            <w:tcW w:type="dxa" w:w="800"/>
            <w:tcMar>
              <w:top w:type="dxa" w:w="80"/>
              <w:left w:type="dxa" w:w="120"/>
              <w:bottom w:type="dxa" w:w="80"/>
              <w:right w:type="dxa" w:w="120"/>
            </w:tcMar>
            <w:vAlign w:val="center"/>
          </w:tcPr>
          <w:p>
            <w:r>
              <w:rPr>
                <w:b w:val="false"/>
                <w:bCs w:val="false"/>
                <w:color w:val="000000"/>
                <w:sz w:val="20"/>
                <w:szCs w:val="20"/>
              </w:rPr>
              <w:t xml:space="preserve">9</w:t>
            </w:r>
          </w:p>
        </w:tc>
        <w:tc>
          <w:tcPr>
            <w:tcW w:type="dxa" w:w="8200"/>
            <w:tcMar>
              <w:top w:type="dxa" w:w="80"/>
              <w:left w:type="dxa" w:w="120"/>
              <w:bottom w:type="dxa" w:w="80"/>
              <w:right w:type="dxa" w:w="120"/>
            </w:tcMar>
            <w:vAlign w:val="center"/>
          </w:tcPr>
          <w:p>
            <w:r>
              <w:rPr>
                <w:b w:val="false"/>
                <w:bCs w:val="false"/>
                <w:color w:val="000000"/>
                <w:sz w:val="20"/>
                <w:szCs w:val="20"/>
              </w:rPr>
              <w:t xml:space="preserve">Employee Master</w:t>
            </w:r>
          </w:p>
        </w:tc>
      </w:tr>
      <w:tr>
        <w:tc>
          <w:tcPr>
            <w:tcW w:type="dxa" w:w="800"/>
            <w:shd w:fill="F2F2F2" w:val="clear"/>
            <w:tcMar>
              <w:top w:type="dxa" w:w="80"/>
              <w:left w:type="dxa" w:w="120"/>
              <w:bottom w:type="dxa" w:w="80"/>
              <w:right w:type="dxa" w:w="120"/>
            </w:tcMar>
            <w:vAlign w:val="center"/>
          </w:tcPr>
          <w:p>
            <w:r>
              <w:rPr>
                <w:b w:val="false"/>
                <w:bCs w:val="false"/>
                <w:color w:val="000000"/>
                <w:sz w:val="20"/>
                <w:szCs w:val="20"/>
              </w:rPr>
              <w:t xml:space="preserve">10</w:t>
            </w:r>
          </w:p>
        </w:tc>
        <w:tc>
          <w:tcPr>
            <w:tcW w:type="dxa" w:w="8200"/>
            <w:shd w:fill="F2F2F2" w:val="clear"/>
            <w:tcMar>
              <w:top w:type="dxa" w:w="80"/>
              <w:left w:type="dxa" w:w="120"/>
              <w:bottom w:type="dxa" w:w="80"/>
              <w:right w:type="dxa" w:w="120"/>
            </w:tcMar>
            <w:vAlign w:val="center"/>
          </w:tcPr>
          <w:p>
            <w:r>
              <w:rPr>
                <w:b w:val="false"/>
                <w:bCs w:val="false"/>
                <w:color w:val="000000"/>
                <w:sz w:val="20"/>
                <w:szCs w:val="20"/>
              </w:rPr>
              <w:t xml:space="preserve">Payroll Record</w:t>
            </w:r>
          </w:p>
        </w:tc>
      </w:tr>
      <w:tr>
        <w:tc>
          <w:tcPr>
            <w:tcW w:type="dxa" w:w="800"/>
            <w:tcMar>
              <w:top w:type="dxa" w:w="80"/>
              <w:left w:type="dxa" w:w="120"/>
              <w:bottom w:type="dxa" w:w="80"/>
              <w:right w:type="dxa" w:w="120"/>
            </w:tcMar>
            <w:vAlign w:val="center"/>
          </w:tcPr>
          <w:p>
            <w:r>
              <w:rPr>
                <w:b w:val="false"/>
                <w:bCs w:val="false"/>
                <w:color w:val="000000"/>
                <w:sz w:val="20"/>
                <w:szCs w:val="20"/>
              </w:rPr>
              <w:t xml:space="preserve">11</w:t>
            </w:r>
          </w:p>
        </w:tc>
        <w:tc>
          <w:tcPr>
            <w:tcW w:type="dxa" w:w="8200"/>
            <w:tcMar>
              <w:top w:type="dxa" w:w="80"/>
              <w:left w:type="dxa" w:w="120"/>
              <w:bottom w:type="dxa" w:w="80"/>
              <w:right w:type="dxa" w:w="120"/>
            </w:tcMar>
            <w:vAlign w:val="center"/>
          </w:tcPr>
          <w:p>
            <w:r>
              <w:rPr>
                <w:b w:val="false"/>
                <w:bCs w:val="false"/>
                <w:color w:val="000000"/>
                <w:sz w:val="20"/>
                <w:szCs w:val="20"/>
              </w:rPr>
              <w:t xml:space="preserve">General Ledger Account</w:t>
            </w:r>
          </w:p>
        </w:tc>
      </w:tr>
      <w:tr>
        <w:tc>
          <w:tcPr>
            <w:tcW w:type="dxa" w:w="800"/>
            <w:shd w:fill="F2F2F2" w:val="clear"/>
            <w:tcMar>
              <w:top w:type="dxa" w:w="80"/>
              <w:left w:type="dxa" w:w="120"/>
              <w:bottom w:type="dxa" w:w="80"/>
              <w:right w:type="dxa" w:w="120"/>
            </w:tcMar>
            <w:vAlign w:val="center"/>
          </w:tcPr>
          <w:p>
            <w:r>
              <w:rPr>
                <w:b w:val="false"/>
                <w:bCs w:val="false"/>
                <w:color w:val="000000"/>
                <w:sz w:val="20"/>
                <w:szCs w:val="20"/>
              </w:rPr>
              <w:t xml:space="preserve">12</w:t>
            </w:r>
          </w:p>
        </w:tc>
        <w:tc>
          <w:tcPr>
            <w:tcW w:type="dxa" w:w="8200"/>
            <w:shd w:fill="F2F2F2" w:val="clear"/>
            <w:tcMar>
              <w:top w:type="dxa" w:w="80"/>
              <w:left w:type="dxa" w:w="120"/>
              <w:bottom w:type="dxa" w:w="80"/>
              <w:right w:type="dxa" w:w="120"/>
            </w:tcMar>
            <w:vAlign w:val="center"/>
          </w:tcPr>
          <w:p>
            <w:r>
              <w:rPr>
                <w:b w:val="false"/>
                <w:bCs w:val="false"/>
                <w:color w:val="000000"/>
                <w:sz w:val="20"/>
                <w:szCs w:val="20"/>
              </w:rPr>
              <w:t xml:space="preserve">Cost Center</w:t>
            </w:r>
          </w:p>
        </w:tc>
      </w:tr>
      <w:tr>
        <w:tc>
          <w:tcPr>
            <w:tcW w:type="dxa" w:w="800"/>
            <w:tcMar>
              <w:top w:type="dxa" w:w="80"/>
              <w:left w:type="dxa" w:w="120"/>
              <w:bottom w:type="dxa" w:w="80"/>
              <w:right w:type="dxa" w:w="120"/>
            </w:tcMar>
            <w:vAlign w:val="center"/>
          </w:tcPr>
          <w:p>
            <w:r>
              <w:rPr>
                <w:b w:val="false"/>
                <w:bCs w:val="false"/>
                <w:color w:val="000000"/>
                <w:sz w:val="20"/>
                <w:szCs w:val="20"/>
              </w:rPr>
              <w:t xml:space="preserve">13</w:t>
            </w:r>
          </w:p>
        </w:tc>
        <w:tc>
          <w:tcPr>
            <w:tcW w:type="dxa" w:w="8200"/>
            <w:tcMar>
              <w:top w:type="dxa" w:w="80"/>
              <w:left w:type="dxa" w:w="120"/>
              <w:bottom w:type="dxa" w:w="80"/>
              <w:right w:type="dxa" w:w="120"/>
            </w:tcMar>
            <w:vAlign w:val="center"/>
          </w:tcPr>
          <w:p>
            <w:r>
              <w:rPr>
                <w:b w:val="false"/>
                <w:bCs w:val="false"/>
                <w:color w:val="000000"/>
                <w:sz w:val="20"/>
                <w:szCs w:val="20"/>
              </w:rPr>
              <w:t xml:space="preserve">Profit Center</w:t>
            </w:r>
          </w:p>
        </w:tc>
      </w:tr>
      <w:tr>
        <w:tc>
          <w:tcPr>
            <w:tcW w:type="dxa" w:w="800"/>
            <w:shd w:fill="F2F2F2" w:val="clear"/>
            <w:tcMar>
              <w:top w:type="dxa" w:w="80"/>
              <w:left w:type="dxa" w:w="120"/>
              <w:bottom w:type="dxa" w:w="80"/>
              <w:right w:type="dxa" w:w="120"/>
            </w:tcMar>
            <w:vAlign w:val="center"/>
          </w:tcPr>
          <w:p>
            <w:r>
              <w:rPr>
                <w:b w:val="false"/>
                <w:bCs w:val="false"/>
                <w:color w:val="000000"/>
                <w:sz w:val="20"/>
                <w:szCs w:val="20"/>
              </w:rPr>
              <w:t xml:space="preserve">14</w:t>
            </w:r>
          </w:p>
        </w:tc>
        <w:tc>
          <w:tcPr>
            <w:tcW w:type="dxa" w:w="8200"/>
            <w:shd w:fill="F2F2F2" w:val="clear"/>
            <w:tcMar>
              <w:top w:type="dxa" w:w="80"/>
              <w:left w:type="dxa" w:w="120"/>
              <w:bottom w:type="dxa" w:w="80"/>
              <w:right w:type="dxa" w:w="120"/>
            </w:tcMar>
            <w:vAlign w:val="center"/>
          </w:tcPr>
          <w:p>
            <w:r>
              <w:rPr>
                <w:b w:val="false"/>
                <w:bCs w:val="false"/>
                <w:color w:val="000000"/>
                <w:sz w:val="20"/>
                <w:szCs w:val="20"/>
              </w:rPr>
              <w:t xml:space="preserve">Asset Master</w:t>
            </w:r>
          </w:p>
        </w:tc>
      </w:tr>
      <w:tr>
        <w:tc>
          <w:tcPr>
            <w:tcW w:type="dxa" w:w="800"/>
            <w:tcMar>
              <w:top w:type="dxa" w:w="80"/>
              <w:left w:type="dxa" w:w="120"/>
              <w:bottom w:type="dxa" w:w="80"/>
              <w:right w:type="dxa" w:w="120"/>
            </w:tcMar>
            <w:vAlign w:val="center"/>
          </w:tcPr>
          <w:p>
            <w:r>
              <w:rPr>
                <w:b w:val="false"/>
                <w:bCs w:val="false"/>
                <w:color w:val="000000"/>
                <w:sz w:val="20"/>
                <w:szCs w:val="20"/>
              </w:rPr>
              <w:t xml:space="preserve">15</w:t>
            </w:r>
          </w:p>
        </w:tc>
        <w:tc>
          <w:tcPr>
            <w:tcW w:type="dxa" w:w="8200"/>
            <w:tcMar>
              <w:top w:type="dxa" w:w="80"/>
              <w:left w:type="dxa" w:w="120"/>
              <w:bottom w:type="dxa" w:w="80"/>
              <w:right w:type="dxa" w:w="120"/>
            </w:tcMar>
            <w:vAlign w:val="center"/>
          </w:tcPr>
          <w:p>
            <w:r>
              <w:rPr>
                <w:b w:val="false"/>
                <w:bCs w:val="false"/>
                <w:color w:val="000000"/>
                <w:sz w:val="20"/>
                <w:szCs w:val="20"/>
              </w:rPr>
              <w:t xml:space="preserve">Bill of Materials</w:t>
            </w:r>
          </w:p>
        </w:tc>
      </w:tr>
      <w:tr>
        <w:tc>
          <w:tcPr>
            <w:tcW w:type="dxa" w:w="800"/>
            <w:shd w:fill="F2F2F2" w:val="clear"/>
            <w:tcMar>
              <w:top w:type="dxa" w:w="80"/>
              <w:left w:type="dxa" w:w="120"/>
              <w:bottom w:type="dxa" w:w="80"/>
              <w:right w:type="dxa" w:w="120"/>
            </w:tcMar>
            <w:vAlign w:val="center"/>
          </w:tcPr>
          <w:p>
            <w:r>
              <w:rPr>
                <w:b w:val="false"/>
                <w:bCs w:val="false"/>
                <w:color w:val="000000"/>
                <w:sz w:val="20"/>
                <w:szCs w:val="20"/>
              </w:rPr>
              <w:t xml:space="preserve">16</w:t>
            </w:r>
          </w:p>
        </w:tc>
        <w:tc>
          <w:tcPr>
            <w:tcW w:type="dxa" w:w="8200"/>
            <w:shd w:fill="F2F2F2" w:val="clear"/>
            <w:tcMar>
              <w:top w:type="dxa" w:w="80"/>
              <w:left w:type="dxa" w:w="120"/>
              <w:bottom w:type="dxa" w:w="80"/>
              <w:right w:type="dxa" w:w="120"/>
            </w:tcMar>
            <w:vAlign w:val="center"/>
          </w:tcPr>
          <w:p>
            <w:r>
              <w:rPr>
                <w:b w:val="false"/>
                <w:bCs w:val="false"/>
                <w:color w:val="000000"/>
                <w:sz w:val="20"/>
                <w:szCs w:val="20"/>
              </w:rPr>
              <w:t xml:space="preserve">Production Order</w:t>
            </w:r>
          </w:p>
        </w:tc>
      </w:tr>
      <w:tr>
        <w:tc>
          <w:tcPr>
            <w:tcW w:type="dxa" w:w="800"/>
            <w:tcMar>
              <w:top w:type="dxa" w:w="80"/>
              <w:left w:type="dxa" w:w="120"/>
              <w:bottom w:type="dxa" w:w="80"/>
              <w:right w:type="dxa" w:w="120"/>
            </w:tcMar>
            <w:vAlign w:val="center"/>
          </w:tcPr>
          <w:p>
            <w:r>
              <w:rPr>
                <w:b w:val="false"/>
                <w:bCs w:val="false"/>
                <w:color w:val="000000"/>
                <w:sz w:val="20"/>
                <w:szCs w:val="20"/>
              </w:rPr>
              <w:t xml:space="preserve">17</w:t>
            </w:r>
          </w:p>
        </w:tc>
        <w:tc>
          <w:tcPr>
            <w:tcW w:type="dxa" w:w="8200"/>
            <w:tcMar>
              <w:top w:type="dxa" w:w="80"/>
              <w:left w:type="dxa" w:w="120"/>
              <w:bottom w:type="dxa" w:w="80"/>
              <w:right w:type="dxa" w:w="120"/>
            </w:tcMar>
            <w:vAlign w:val="center"/>
          </w:tcPr>
          <w:p>
            <w:r>
              <w:rPr>
                <w:b w:val="false"/>
                <w:bCs w:val="false"/>
                <w:color w:val="000000"/>
                <w:sz w:val="20"/>
                <w:szCs w:val="20"/>
              </w:rPr>
              <w:t xml:space="preserve">Contract Document</w:t>
            </w:r>
          </w:p>
        </w:tc>
      </w:tr>
      <w:tr>
        <w:tc>
          <w:tcPr>
            <w:tcW w:type="dxa" w:w="800"/>
            <w:shd w:fill="F2F2F2" w:val="clear"/>
            <w:tcMar>
              <w:top w:type="dxa" w:w="80"/>
              <w:left w:type="dxa" w:w="120"/>
              <w:bottom w:type="dxa" w:w="80"/>
              <w:right w:type="dxa" w:w="120"/>
            </w:tcMar>
            <w:vAlign w:val="center"/>
          </w:tcPr>
          <w:p>
            <w:r>
              <w:rPr>
                <w:b w:val="false"/>
                <w:bCs w:val="false"/>
                <w:color w:val="000000"/>
                <w:sz w:val="20"/>
                <w:szCs w:val="20"/>
              </w:rPr>
              <w:t xml:space="preserve">18</w:t>
            </w:r>
          </w:p>
        </w:tc>
        <w:tc>
          <w:tcPr>
            <w:tcW w:type="dxa" w:w="8200"/>
            <w:shd w:fill="F2F2F2" w:val="clear"/>
            <w:tcMar>
              <w:top w:type="dxa" w:w="80"/>
              <w:left w:type="dxa" w:w="120"/>
              <w:bottom w:type="dxa" w:w="80"/>
              <w:right w:type="dxa" w:w="120"/>
            </w:tcMar>
            <w:vAlign w:val="center"/>
          </w:tcPr>
          <w:p>
            <w:r>
              <w:rPr>
                <w:b w:val="false"/>
                <w:bCs w:val="false"/>
                <w:color w:val="000000"/>
                <w:sz w:val="20"/>
                <w:szCs w:val="20"/>
              </w:rPr>
              <w:t xml:space="preserve">Delivery Document</w:t>
            </w:r>
          </w:p>
        </w:tc>
      </w:tr>
      <w:tr>
        <w:tc>
          <w:tcPr>
            <w:tcW w:type="dxa" w:w="800"/>
            <w:tcMar>
              <w:top w:type="dxa" w:w="80"/>
              <w:left w:type="dxa" w:w="120"/>
              <w:bottom w:type="dxa" w:w="80"/>
              <w:right w:type="dxa" w:w="120"/>
            </w:tcMar>
            <w:vAlign w:val="center"/>
          </w:tcPr>
          <w:p>
            <w:r>
              <w:rPr>
                <w:b w:val="false"/>
                <w:bCs w:val="false"/>
                <w:color w:val="000000"/>
                <w:sz w:val="20"/>
                <w:szCs w:val="20"/>
              </w:rPr>
              <w:t xml:space="preserve">19</w:t>
            </w:r>
          </w:p>
        </w:tc>
        <w:tc>
          <w:tcPr>
            <w:tcW w:type="dxa" w:w="8200"/>
            <w:tcMar>
              <w:top w:type="dxa" w:w="80"/>
              <w:left w:type="dxa" w:w="120"/>
              <w:bottom w:type="dxa" w:w="80"/>
              <w:right w:type="dxa" w:w="120"/>
            </w:tcMar>
            <w:vAlign w:val="center"/>
          </w:tcPr>
          <w:p>
            <w:r>
              <w:rPr>
                <w:b w:val="false"/>
                <w:bCs w:val="false"/>
                <w:color w:val="000000"/>
                <w:sz w:val="20"/>
                <w:szCs w:val="20"/>
              </w:rPr>
              <w:t xml:space="preserve">Bank Statement</w:t>
            </w:r>
          </w:p>
        </w:tc>
      </w:tr>
      <w:tr>
        <w:tc>
          <w:tcPr>
            <w:tcW w:type="dxa" w:w="800"/>
            <w:shd w:fill="F2F2F2" w:val="clear"/>
            <w:tcMar>
              <w:top w:type="dxa" w:w="80"/>
              <w:left w:type="dxa" w:w="120"/>
              <w:bottom w:type="dxa" w:w="80"/>
              <w:right w:type="dxa" w:w="120"/>
            </w:tcMar>
            <w:vAlign w:val="center"/>
          </w:tcPr>
          <w:p>
            <w:r>
              <w:rPr>
                <w:b w:val="false"/>
                <w:bCs w:val="false"/>
                <w:color w:val="000000"/>
                <w:sz w:val="20"/>
                <w:szCs w:val="20"/>
              </w:rPr>
              <w:t xml:space="preserve">20</w:t>
            </w:r>
          </w:p>
        </w:tc>
        <w:tc>
          <w:tcPr>
            <w:tcW w:type="dxa" w:w="8200"/>
            <w:shd w:fill="F2F2F2" w:val="clear"/>
            <w:tcMar>
              <w:top w:type="dxa" w:w="80"/>
              <w:left w:type="dxa" w:w="120"/>
              <w:bottom w:type="dxa" w:w="80"/>
              <w:right w:type="dxa" w:w="120"/>
            </w:tcMar>
            <w:vAlign w:val="center"/>
          </w:tcPr>
          <w:p>
            <w:r>
              <w:rPr>
                <w:b w:val="false"/>
                <w:bCs w:val="false"/>
                <w:color w:val="000000"/>
                <w:sz w:val="20"/>
                <w:szCs w:val="20"/>
              </w:rPr>
              <w:t xml:space="preserve">Tax Determination Record</w:t>
            </w:r>
          </w:p>
        </w:tc>
      </w:tr>
    </w:tbl>
    <w:p>
      <w:pPr>
        <w:spacing w:after="200"/>
      </w:pPr>
    </w:p>
    <w:p>
      <w:pPr>
        <w:pStyle w:val="Heading1"/>
        <w:spacing w:after="160" w:before="360"/>
      </w:pPr>
      <w:r>
        <w:rPr>
          <w:color w:val="1F3864"/>
        </w:rPr>
        <w:t xml:space="preserve">3. Data Object to Business Object Mapping</w:t>
      </w:r>
    </w:p>
    <w:p>
      <w:pPr>
        <w:spacing w:after="160"/>
      </w:pPr>
      <w:r>
        <w:rPr>
          <w:b w:val="false"/>
          <w:bCs w:val="false"/>
          <w:i w:val="false"/>
          <w:iCs w:val="false"/>
        </w:rPr>
        <w:t xml:space="preserve">Each Data Object is accessed by one or more Business Processes via the corresponding Business Object (see the “Data Architecture” view). Representative mappings: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shd w:fill="1F3864" w:val="clear"/>
            <w:tcMar>
              <w:top w:type="dxa" w:w="80"/>
              <w:left w:type="dxa" w:w="120"/>
              <w:bottom w:type="dxa" w:w="80"/>
              <w:right w:type="dxa" w:w="120"/>
            </w:tcMar>
            <w:vAlign w:val="center"/>
          </w:tcPr>
          <w:p>
            <w:r>
              <w:rPr>
                <w:b/>
                <w:bCs/>
                <w:color w:val="FFFFFF"/>
                <w:sz w:val="20"/>
                <w:szCs w:val="20"/>
              </w:rPr>
              <w:t xml:space="preserve">Business Object</w:t>
            </w:r>
          </w:p>
        </w:tc>
        <w:tc>
          <w:tcPr>
            <w:tcW w:type="dxa" w:w="4800"/>
            <w:shd w:fill="1F3864" w:val="clear"/>
            <w:tcMar>
              <w:top w:type="dxa" w:w="80"/>
              <w:left w:type="dxa" w:w="120"/>
              <w:bottom w:type="dxa" w:w="80"/>
              <w:right w:type="dxa" w:w="120"/>
            </w:tcMar>
            <w:vAlign w:val="center"/>
          </w:tcPr>
          <w:p>
            <w:r>
              <w:rPr>
                <w:b/>
                <w:bCs/>
                <w:color w:val="FFFFFF"/>
                <w:sz w:val="20"/>
                <w:szCs w:val="20"/>
              </w:rPr>
              <w:t xml:space="preserve">Related Data Object(s)</w:t>
            </w:r>
          </w:p>
        </w:tc>
      </w:tr>
      <w:tr>
        <w:tc>
          <w:tcPr>
            <w:tcW w:type="dxa" w:w="4200"/>
            <w:tcMar>
              <w:top w:type="dxa" w:w="80"/>
              <w:left w:type="dxa" w:w="120"/>
              <w:bottom w:type="dxa" w:w="80"/>
              <w:right w:type="dxa" w:w="120"/>
            </w:tcMar>
            <w:vAlign w:val="center"/>
          </w:tcPr>
          <w:p>
            <w:r>
              <w:rPr>
                <w:b w:val="false"/>
                <w:bCs w:val="false"/>
                <w:color w:val="000000"/>
                <w:sz w:val="20"/>
                <w:szCs w:val="20"/>
              </w:rPr>
              <w:t xml:space="preserve">Customer Order</w:t>
            </w:r>
          </w:p>
        </w:tc>
        <w:tc>
          <w:tcPr>
            <w:tcW w:type="dxa" w:w="4800"/>
            <w:tcMar>
              <w:top w:type="dxa" w:w="80"/>
              <w:left w:type="dxa" w:w="120"/>
              <w:bottom w:type="dxa" w:w="80"/>
              <w:right w:type="dxa" w:w="120"/>
            </w:tcMar>
            <w:vAlign w:val="center"/>
          </w:tcPr>
          <w:p>
            <w:r>
              <w:rPr>
                <w:b w:val="false"/>
                <w:bCs w:val="false"/>
                <w:color w:val="000000"/>
                <w:sz w:val="20"/>
                <w:szCs w:val="20"/>
              </w:rPr>
              <w:t xml:space="preserve">Customer Master</w:t>
            </w:r>
          </w:p>
        </w:tc>
      </w:tr>
      <w:tr>
        <w:tc>
          <w:tcPr>
            <w:tcW w:type="dxa" w:w="4200"/>
            <w:shd w:fill="F2F2F2" w:val="clear"/>
            <w:tcMar>
              <w:top w:type="dxa" w:w="80"/>
              <w:left w:type="dxa" w:w="120"/>
              <w:bottom w:type="dxa" w:w="80"/>
              <w:right w:type="dxa" w:w="120"/>
            </w:tcMar>
            <w:vAlign w:val="center"/>
          </w:tcPr>
          <w:p>
            <w:r>
              <w:rPr>
                <w:b w:val="false"/>
                <w:bCs w:val="false"/>
                <w:color w:val="000000"/>
                <w:sz w:val="20"/>
                <w:szCs w:val="20"/>
              </w:rPr>
              <w:t xml:space="preserve">Purchase Requisition</w:t>
            </w:r>
          </w:p>
        </w:tc>
        <w:tc>
          <w:tcPr>
            <w:tcW w:type="dxa" w:w="4800"/>
            <w:shd w:fill="F2F2F2" w:val="clear"/>
            <w:tcMar>
              <w:top w:type="dxa" w:w="80"/>
              <w:left w:type="dxa" w:w="120"/>
              <w:bottom w:type="dxa" w:w="80"/>
              <w:right w:type="dxa" w:w="120"/>
            </w:tcMar>
            <w:vAlign w:val="center"/>
          </w:tcPr>
          <w:p>
            <w:r>
              <w:rPr>
                <w:b w:val="false"/>
                <w:bCs w:val="false"/>
                <w:color w:val="000000"/>
                <w:sz w:val="20"/>
                <w:szCs w:val="20"/>
              </w:rPr>
              <w:t xml:space="preserve">Vendor Master</w:t>
            </w:r>
          </w:p>
        </w:tc>
      </w:tr>
      <w:tr>
        <w:tc>
          <w:tcPr>
            <w:tcW w:type="dxa" w:w="4200"/>
            <w:tcMar>
              <w:top w:type="dxa" w:w="80"/>
              <w:left w:type="dxa" w:w="120"/>
              <w:bottom w:type="dxa" w:w="80"/>
              <w:right w:type="dxa" w:w="120"/>
            </w:tcMar>
            <w:vAlign w:val="center"/>
          </w:tcPr>
          <w:p>
            <w:r>
              <w:rPr>
                <w:b w:val="false"/>
                <w:bCs w:val="false"/>
                <w:color w:val="000000"/>
                <w:sz w:val="20"/>
                <w:szCs w:val="20"/>
              </w:rPr>
              <w:t xml:space="preserve">Employee Record</w:t>
            </w:r>
          </w:p>
        </w:tc>
        <w:tc>
          <w:tcPr>
            <w:tcW w:type="dxa" w:w="4800"/>
            <w:tcMar>
              <w:top w:type="dxa" w:w="80"/>
              <w:left w:type="dxa" w:w="120"/>
              <w:bottom w:type="dxa" w:w="80"/>
              <w:right w:type="dxa" w:w="120"/>
            </w:tcMar>
            <w:vAlign w:val="center"/>
          </w:tcPr>
          <w:p>
            <w:r>
              <w:rPr>
                <w:b w:val="false"/>
                <w:bCs w:val="false"/>
                <w:color w:val="000000"/>
                <w:sz w:val="20"/>
                <w:szCs w:val="20"/>
              </w:rPr>
              <w:t xml:space="preserve">Material Master</w:t>
            </w:r>
          </w:p>
        </w:tc>
      </w:tr>
      <w:tr>
        <w:tc>
          <w:tcPr>
            <w:tcW w:type="dxa" w:w="4200"/>
            <w:shd w:fill="F2F2F2" w:val="clear"/>
            <w:tcMar>
              <w:top w:type="dxa" w:w="80"/>
              <w:left w:type="dxa" w:w="120"/>
              <w:bottom w:type="dxa" w:w="80"/>
              <w:right w:type="dxa" w:w="120"/>
            </w:tcMar>
            <w:vAlign w:val="center"/>
          </w:tcPr>
          <w:p>
            <w:r>
              <w:rPr>
                <w:b w:val="false"/>
                <w:bCs w:val="false"/>
                <w:color w:val="000000"/>
                <w:sz w:val="20"/>
                <w:szCs w:val="20"/>
              </w:rPr>
              <w:t xml:space="preserve">Financial Statement</w:t>
            </w:r>
          </w:p>
        </w:tc>
        <w:tc>
          <w:tcPr>
            <w:tcW w:type="dxa" w:w="4800"/>
            <w:shd w:fill="F2F2F2" w:val="clear"/>
            <w:tcMar>
              <w:top w:type="dxa" w:w="80"/>
              <w:left w:type="dxa" w:w="120"/>
              <w:bottom w:type="dxa" w:w="80"/>
              <w:right w:type="dxa" w:w="120"/>
            </w:tcMar>
            <w:vAlign w:val="center"/>
          </w:tcPr>
          <w:p>
            <w:r>
              <w:rPr>
                <w:b w:val="false"/>
                <w:bCs w:val="false"/>
                <w:color w:val="000000"/>
                <w:sz w:val="20"/>
                <w:szCs w:val="20"/>
              </w:rPr>
              <w:t xml:space="preserve">Financial Document</w:t>
            </w:r>
          </w:p>
        </w:tc>
      </w:tr>
      <w:tr>
        <w:tc>
          <w:tcPr>
            <w:tcW w:type="dxa" w:w="4200"/>
            <w:tcMar>
              <w:top w:type="dxa" w:w="80"/>
              <w:left w:type="dxa" w:w="120"/>
              <w:bottom w:type="dxa" w:w="80"/>
              <w:right w:type="dxa" w:w="120"/>
            </w:tcMar>
            <w:vAlign w:val="center"/>
          </w:tcPr>
          <w:p>
            <w:r>
              <w:rPr>
                <w:b w:val="false"/>
                <w:bCs w:val="false"/>
                <w:color w:val="000000"/>
                <w:sz w:val="20"/>
                <w:szCs w:val="20"/>
              </w:rPr>
              <w:t xml:space="preserve">Production Plan</w:t>
            </w:r>
          </w:p>
        </w:tc>
        <w:tc>
          <w:tcPr>
            <w:tcW w:type="dxa" w:w="4800"/>
            <w:tcMar>
              <w:top w:type="dxa" w:w="80"/>
              <w:left w:type="dxa" w:w="120"/>
              <w:bottom w:type="dxa" w:w="80"/>
              <w:right w:type="dxa" w:w="120"/>
            </w:tcMar>
            <w:vAlign w:val="center"/>
          </w:tcPr>
          <w:p>
            <w:r>
              <w:rPr>
                <w:b w:val="false"/>
                <w:bCs w:val="false"/>
                <w:color w:val="000000"/>
                <w:sz w:val="20"/>
                <w:szCs w:val="20"/>
              </w:rPr>
              <w:t xml:space="preserve">Sales Order</w:t>
            </w:r>
          </w:p>
        </w:tc>
      </w:tr>
      <w:tr>
        <w:tc>
          <w:tcPr>
            <w:tcW w:type="dxa" w:w="4200"/>
            <w:shd w:fill="F2F2F2" w:val="clear"/>
            <w:tcMar>
              <w:top w:type="dxa" w:w="80"/>
              <w:left w:type="dxa" w:w="120"/>
              <w:bottom w:type="dxa" w:w="80"/>
              <w:right w:type="dxa" w:w="120"/>
            </w:tcMar>
            <w:vAlign w:val="center"/>
          </w:tcPr>
          <w:p>
            <w:r>
              <w:rPr>
                <w:b w:val="false"/>
                <w:bCs w:val="false"/>
                <w:color w:val="000000"/>
                <w:sz w:val="20"/>
                <w:szCs w:val="20"/>
              </w:rPr>
              <w:t xml:space="preserve">Sales Contract</w:t>
            </w:r>
          </w:p>
        </w:tc>
        <w:tc>
          <w:tcPr>
            <w:tcW w:type="dxa" w:w="4800"/>
            <w:shd w:fill="F2F2F2" w:val="clear"/>
            <w:tcMar>
              <w:top w:type="dxa" w:w="80"/>
              <w:left w:type="dxa" w:w="120"/>
              <w:bottom w:type="dxa" w:w="80"/>
              <w:right w:type="dxa" w:w="120"/>
            </w:tcMar>
            <w:vAlign w:val="center"/>
          </w:tcPr>
          <w:p>
            <w:r>
              <w:rPr>
                <w:b w:val="false"/>
                <w:bCs w:val="false"/>
                <w:color w:val="000000"/>
                <w:sz w:val="20"/>
                <w:szCs w:val="20"/>
              </w:rPr>
              <w:t xml:space="preserve">Purchase Order</w:t>
            </w:r>
          </w:p>
        </w:tc>
      </w:tr>
      <w:tr>
        <w:tc>
          <w:tcPr>
            <w:tcW w:type="dxa" w:w="4200"/>
            <w:tcMar>
              <w:top w:type="dxa" w:w="80"/>
              <w:left w:type="dxa" w:w="120"/>
              <w:bottom w:type="dxa" w:w="80"/>
              <w:right w:type="dxa" w:w="120"/>
            </w:tcMar>
            <w:vAlign w:val="center"/>
          </w:tcPr>
          <w:p>
            <w:r>
              <w:rPr>
                <w:b w:val="false"/>
                <w:bCs w:val="false"/>
                <w:color w:val="000000"/>
                <w:sz w:val="20"/>
                <w:szCs w:val="20"/>
              </w:rPr>
              <w:t xml:space="preserve">Supplier Agreement</w:t>
            </w:r>
          </w:p>
        </w:tc>
        <w:tc>
          <w:tcPr>
            <w:tcW w:type="dxa" w:w="4800"/>
            <w:tcMar>
              <w:top w:type="dxa" w:w="80"/>
              <w:left w:type="dxa" w:w="120"/>
              <w:bottom w:type="dxa" w:w="80"/>
              <w:right w:type="dxa" w:w="120"/>
            </w:tcMar>
            <w:vAlign w:val="center"/>
          </w:tcPr>
          <w:p>
            <w:r>
              <w:rPr>
                <w:b w:val="false"/>
                <w:bCs w:val="false"/>
                <w:color w:val="000000"/>
                <w:sz w:val="20"/>
                <w:szCs w:val="20"/>
              </w:rPr>
              <w:t xml:space="preserve">Invoice</w:t>
            </w:r>
          </w:p>
        </w:tc>
      </w:tr>
      <w:tr>
        <w:tc>
          <w:tcPr>
            <w:tcW w:type="dxa" w:w="4200"/>
            <w:shd w:fill="F2F2F2" w:val="clear"/>
            <w:tcMar>
              <w:top w:type="dxa" w:w="80"/>
              <w:left w:type="dxa" w:w="120"/>
              <w:bottom w:type="dxa" w:w="80"/>
              <w:right w:type="dxa" w:w="120"/>
            </w:tcMar>
            <w:vAlign w:val="center"/>
          </w:tcPr>
          <w:p>
            <w:r>
              <w:rPr>
                <w:b w:val="false"/>
                <w:bCs w:val="false"/>
                <w:color w:val="000000"/>
                <w:sz w:val="20"/>
                <w:szCs w:val="20"/>
              </w:rPr>
              <w:t xml:space="preserve">Expense Report</w:t>
            </w:r>
          </w:p>
        </w:tc>
        <w:tc>
          <w:tcPr>
            <w:tcW w:type="dxa" w:w="4800"/>
            <w:shd w:fill="F2F2F2" w:val="clear"/>
            <w:tcMar>
              <w:top w:type="dxa" w:w="80"/>
              <w:left w:type="dxa" w:w="120"/>
              <w:bottom w:type="dxa" w:w="80"/>
              <w:right w:type="dxa" w:w="120"/>
            </w:tcMar>
            <w:vAlign w:val="center"/>
          </w:tcPr>
          <w:p>
            <w:r>
              <w:rPr>
                <w:b w:val="false"/>
                <w:bCs w:val="false"/>
                <w:color w:val="000000"/>
                <w:sz w:val="20"/>
                <w:szCs w:val="20"/>
              </w:rPr>
              <w:t xml:space="preserve">Goods Movement Document</w:t>
            </w:r>
          </w:p>
        </w:tc>
      </w:tr>
      <w:tr>
        <w:tc>
          <w:tcPr>
            <w:tcW w:type="dxa" w:w="4200"/>
            <w:tcMar>
              <w:top w:type="dxa" w:w="80"/>
              <w:left w:type="dxa" w:w="120"/>
              <w:bottom w:type="dxa" w:w="80"/>
              <w:right w:type="dxa" w:w="120"/>
            </w:tcMar>
            <w:vAlign w:val="center"/>
          </w:tcPr>
          <w:p>
            <w:r>
              <w:rPr>
                <w:b w:val="false"/>
                <w:bCs w:val="false"/>
                <w:color w:val="000000"/>
                <w:sz w:val="20"/>
                <w:szCs w:val="20"/>
              </w:rPr>
              <w:t xml:space="preserve">Budget Plan</w:t>
            </w:r>
          </w:p>
        </w:tc>
        <w:tc>
          <w:tcPr>
            <w:tcW w:type="dxa" w:w="4800"/>
            <w:tcMar>
              <w:top w:type="dxa" w:w="80"/>
              <w:left w:type="dxa" w:w="120"/>
              <w:bottom w:type="dxa" w:w="80"/>
              <w:right w:type="dxa" w:w="120"/>
            </w:tcMar>
            <w:vAlign w:val="center"/>
          </w:tcPr>
          <w:p>
            <w:r>
              <w:rPr>
                <w:b w:val="false"/>
                <w:bCs w:val="false"/>
                <w:color w:val="000000"/>
                <w:sz w:val="20"/>
                <w:szCs w:val="20"/>
              </w:rPr>
              <w:t xml:space="preserve">Employee Master</w:t>
            </w:r>
          </w:p>
        </w:tc>
      </w:tr>
      <w:tr>
        <w:tc>
          <w:tcPr>
            <w:tcW w:type="dxa" w:w="4200"/>
            <w:shd w:fill="F2F2F2" w:val="clear"/>
            <w:tcMar>
              <w:top w:type="dxa" w:w="80"/>
              <w:left w:type="dxa" w:w="120"/>
              <w:bottom w:type="dxa" w:w="80"/>
              <w:right w:type="dxa" w:w="120"/>
            </w:tcMar>
            <w:vAlign w:val="center"/>
          </w:tcPr>
          <w:p>
            <w:r>
              <w:rPr>
                <w:b w:val="false"/>
                <w:bCs w:val="false"/>
                <w:color w:val="000000"/>
                <w:sz w:val="20"/>
                <w:szCs w:val="20"/>
              </w:rPr>
              <w:t xml:space="preserve">Compliance Report</w:t>
            </w:r>
          </w:p>
        </w:tc>
        <w:tc>
          <w:tcPr>
            <w:tcW w:type="dxa" w:w="4800"/>
            <w:shd w:fill="F2F2F2" w:val="clear"/>
            <w:tcMar>
              <w:top w:type="dxa" w:w="80"/>
              <w:left w:type="dxa" w:w="120"/>
              <w:bottom w:type="dxa" w:w="80"/>
              <w:right w:type="dxa" w:w="120"/>
            </w:tcMar>
            <w:vAlign w:val="center"/>
          </w:tcPr>
          <w:p>
            <w:r>
              <w:rPr>
                <w:b w:val="false"/>
                <w:bCs w:val="false"/>
                <w:color w:val="000000"/>
                <w:sz w:val="20"/>
                <w:szCs w:val="20"/>
              </w:rPr>
              <w:t xml:space="preserve">Payroll Record</w:t>
            </w:r>
          </w:p>
        </w:tc>
      </w:tr>
    </w:tbl>
    <w:p>
      <w:pPr>
        <w:spacing w:after="200"/>
      </w:pPr>
    </w:p>
    <w:p>
      <w:pPr>
        <w:pStyle w:val="Heading1"/>
        <w:spacing w:after="160" w:before="360"/>
      </w:pPr>
      <w:r>
        <w:rPr>
          <w:color w:val="1F3864"/>
        </w:rPr>
        <w:t xml:space="preserve">4. Master Data Governance</w:t>
      </w:r>
    </w:p>
    <w:p>
      <w:pPr>
        <w:spacing w:after="160"/>
      </w:pPr>
      <w:r>
        <w:rPr>
          <w:b w:val="false"/>
          <w:bCs w:val="false"/>
          <w:i w:val="false"/>
          <w:iCs w:val="false"/>
        </w:rPr>
        <w:t xml:space="preserve">SAP Master Data Governance (SAP MDG) is the system of record for master data domains (Customer, Vendor, Material) and enforces the “Centralize Master Data Governance” course of action defined in the Architecture Vision. Data quality is tracked via the “Data Quality Assessment” and closed through the “Data Quality Gap” work package.</w:t>
      </w:r>
    </w:p>
    <w:p>
      <w:pPr>
        <w:pStyle w:val="Heading1"/>
        <w:spacing w:after="160" w:before="360"/>
      </w:pPr>
      <w:r>
        <w:rPr>
          <w:color w:val="1F3864"/>
        </w:rPr>
        <w:t xml:space="preserve">5. Data Migration Approach</w:t>
      </w:r>
    </w:p>
    <w:p>
      <w:pPr>
        <w:pStyle w:val="ListParagraph"/>
        <w:numPr>
          <w:ilvl w:val="0"/>
          <w:numId w:val="2"/>
        </w:numPr>
        <w:spacing w:after="80"/>
      </w:pPr>
      <w:r>
        <w:t xml:space="preserve">Extract: source data profiled and extracted from the legacy ERP baseline plateau.</w:t>
      </w:r>
    </w:p>
    <w:p>
      <w:pPr>
        <w:pStyle w:val="ListParagraph"/>
        <w:numPr>
          <w:ilvl w:val="0"/>
          <w:numId w:val="2"/>
        </w:numPr>
        <w:spacing w:after="80"/>
      </w:pPr>
      <w:r>
        <w:t xml:space="preserve">Cleanse: data quality rules applied per domain (Customer, Vendor, Material, Financial).</w:t>
      </w:r>
    </w:p>
    <w:p>
      <w:pPr>
        <w:pStyle w:val="ListParagraph"/>
        <w:numPr>
          <w:ilvl w:val="0"/>
          <w:numId w:val="2"/>
        </w:numPr>
        <w:spacing w:after="80"/>
      </w:pPr>
      <w:r>
        <w:t xml:space="preserve">Transform: mapped to the SAP S/4HANA Cloud target data model via SAP Datasphere and SAP Integration Suite.</w:t>
      </w:r>
    </w:p>
    <w:p>
      <w:pPr>
        <w:pStyle w:val="ListParagraph"/>
        <w:numPr>
          <w:ilvl w:val="0"/>
          <w:numId w:val="2"/>
        </w:numPr>
        <w:spacing w:after="80"/>
      </w:pPr>
      <w:r>
        <w:t xml:space="preserve">Load: loaded via SAP MDG and validated against reconciliation reports before cutover.</w:t>
      </w:r>
    </w:p>
    <w:p>
      <w:pPr>
        <w:pStyle w:val="ListParagraph"/>
        <w:numPr>
          <w:ilvl w:val="0"/>
          <w:numId w:val="2"/>
        </w:numPr>
        <w:spacing w:after="80"/>
      </w:pPr>
      <w:r>
        <w:t xml:space="preserve">Decommission: legacy data stores retired per the Legacy Decommissioning Work Package.</w:t>
      </w:r>
    </w:p>
    <w:p>
      <w:pPr>
        <w:pStyle w:val="Heading1"/>
        <w:spacing w:after="160" w:before="360"/>
      </w:pPr>
      <w:r>
        <w:rPr>
          <w:color w:val="1F3864"/>
        </w:rPr>
        <w:t xml:space="preserve">6. Data Residency and Compliance</w:t>
      </w:r>
    </w:p>
    <w:p>
      <w:pPr>
        <w:spacing w:after="160"/>
      </w:pPr>
      <w:r>
        <w:rPr>
          <w:b w:val="false"/>
          <w:bCs w:val="false"/>
          <w:i w:val="false"/>
          <w:iCs w:val="false"/>
        </w:rPr>
        <w:t xml:space="preserve">Per the “Regulatory Data Residency Constraint” and Requirement “System shall retain data residency in EU region,” all in-scope data objects are hosted within EU-region SAP BTP and SAP HANA Cloud environments, consistent with the GDPR-related requirements in the Architecture Requirements Specification.</w:t>
      </w:r>
    </w:p>
    <w:p>
      <w:pPr>
        <w:pStyle w:val="Heading1"/>
        <w:spacing w:after="160" w:before="360"/>
      </w:pPr>
      <w:r>
        <w:rPr>
          <w:color w:val="1F3864"/>
        </w:rPr>
        <w:t xml:space="preserve">7. Traceability</w:t>
      </w:r>
    </w:p>
    <w:p>
      <w:pPr>
        <w:spacing w:after="160"/>
      </w:pPr>
      <w:r>
        <w:rPr>
          <w:b w:val="false"/>
          <w:bCs w:val="false"/>
          <w:i w:val="false"/>
          <w:iCs w:val="false"/>
        </w:rPr>
        <w:t xml:space="preserve">All Data Objects listed above are modelled as ArchiMate “DataObject” elements in the SAP Enterprise Repository and are rendered in the “Data Architecture” view, together with their Access relationships to Application Components.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SAP Enterprise Repository –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Data Architecture – Phase 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2026-08-13T09:31:15.531Z</dcterms:created>
  <dcterms:modified xsi:type="dcterms:W3CDTF">2026-08-13T09:31:15.531Z</dcterms:modified>
</cp:coreProperties>
</file>

<file path=docProps/custom.xml><?xml version="1.0" encoding="utf-8"?>
<Properties xmlns="http://schemas.openxmlformats.org/officeDocument/2006/custom-properties" xmlns:vt="http://schemas.openxmlformats.org/officeDocument/2006/docPropsVTypes"/>
</file>