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Application Architecture</w:t>
      </w:r>
    </w:p>
    <w:p>
      <w:pPr>
        <w:spacing w:after="1200"/>
      </w:pPr>
      <w:r>
        <w:rPr>
          <w:i/>
          <w:iCs/>
          <w:color w:val="595959"/>
          <w:sz w:val="28"/>
          <w:szCs w:val="28"/>
        </w:rPr>
        <w:t xml:space="preserve">TOGAF ADM Phase C – SAP Enterprise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Phase C – Information Systems Architecture (Application)</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Enterprise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Application Architecture describes the target application landscape for SAP RISE with SAP S/4HANA Cloud, comprising the core SAP components, the SAP Business Technology Platform (BTP) extension landscape, and the services and interfaces that connect them. It elaborates the Application layer of the SAP Enterprise Repository.</w:t>
      </w:r>
    </w:p>
    <w:p>
      <w:pPr>
        <w:pStyle w:val="Heading1"/>
        <w:spacing w:after="160" w:before="360"/>
      </w:pPr>
      <w:r>
        <w:rPr>
          <w:color w:val="1F3864"/>
        </w:rPr>
        <w:t xml:space="preserve">2. Core SAP RISE Landscape</w:t>
      </w:r>
    </w:p>
    <w:p>
      <w:pPr>
        <w:spacing w:after="160"/>
      </w:pPr>
      <w:r>
        <w:rPr>
          <w:b w:val="false"/>
          <w:bCs w:val="false"/>
          <w:i w:val="false"/>
          <w:iCs w:val="false"/>
        </w:rPr>
        <w:t xml:space="preserve">The following application components form the current/baseline SAP RISE with SAP S/4HANA Cloud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Application Component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SAP S/4HANA Cloud</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Ariba</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SAP BTP</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Datasphere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SAP Build Apps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Analytics Cloud</w:t>
            </w:r>
          </w:p>
        </w:tc>
      </w:tr>
      <w:tr>
        <w:tc>
          <w:tcPr>
            <w:tcW w:type="dxa" w:w="800"/>
            <w:tcMar>
              <w:top w:type="dxa" w:w="80"/>
              <w:left w:type="dxa" w:w="120"/>
              <w:bottom w:type="dxa" w:w="80"/>
              <w:right w:type="dxa" w:w="120"/>
            </w:tcMar>
            <w:vAlign w:val="center"/>
          </w:tcPr>
          <w:p>
            <w:r>
              <w:rPr>
                <w:b w:val="false"/>
                <w:bCs w:val="false"/>
                <w:color w:val="000000"/>
                <w:sz w:val="20"/>
                <w:szCs w:val="20"/>
              </w:rPr>
              <w:t xml:space="preserve">7</w:t>
            </w:r>
          </w:p>
        </w:tc>
        <w:tc>
          <w:tcPr>
            <w:tcW w:type="dxa" w:w="8200"/>
            <w:tcMar>
              <w:top w:type="dxa" w:w="80"/>
              <w:left w:type="dxa" w:w="120"/>
              <w:bottom w:type="dxa" w:w="80"/>
              <w:right w:type="dxa" w:w="120"/>
            </w:tcMar>
            <w:vAlign w:val="center"/>
          </w:tcPr>
          <w:p>
            <w:r>
              <w:rPr>
                <w:b w:val="false"/>
                <w:bCs w:val="false"/>
                <w:color w:val="000000"/>
                <w:sz w:val="20"/>
                <w:szCs w:val="20"/>
              </w:rPr>
              <w:t xml:space="preserve">SAP SuccessFactors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Concur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9</w:t>
            </w:r>
          </w:p>
        </w:tc>
        <w:tc>
          <w:tcPr>
            <w:tcW w:type="dxa" w:w="8200"/>
            <w:tcMar>
              <w:top w:type="dxa" w:w="80"/>
              <w:left w:type="dxa" w:w="120"/>
              <w:bottom w:type="dxa" w:w="80"/>
              <w:right w:type="dxa" w:w="120"/>
            </w:tcMar>
            <w:vAlign w:val="center"/>
          </w:tcPr>
          <w:p>
            <w:r>
              <w:rPr>
                <w:b w:val="false"/>
                <w:bCs w:val="false"/>
                <w:color w:val="000000"/>
                <w:sz w:val="20"/>
                <w:szCs w:val="20"/>
              </w:rPr>
              <w:t xml:space="preserve">SAP Integration Suite</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Event Mesh</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11</w:t>
            </w:r>
          </w:p>
        </w:tc>
        <w:tc>
          <w:tcPr>
            <w:tcW w:type="dxa" w:w="8200"/>
            <w:tcMar>
              <w:top w:type="dxa" w:w="80"/>
              <w:left w:type="dxa" w:w="120"/>
              <w:bottom w:type="dxa" w:w="80"/>
              <w:right w:type="dxa" w:w="120"/>
            </w:tcMar>
            <w:vAlign w:val="center"/>
          </w:tcPr>
          <w:p>
            <w:r>
              <w:rPr>
                <w:b w:val="false"/>
                <w:bCs w:val="false"/>
                <w:color w:val="000000"/>
                <w:sz w:val="20"/>
                <w:szCs w:val="20"/>
              </w:rPr>
              <w:t xml:space="preserve">SAP HANA Cloud</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Build Process Automation</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13</w:t>
            </w:r>
          </w:p>
        </w:tc>
        <w:tc>
          <w:tcPr>
            <w:tcW w:type="dxa" w:w="8200"/>
            <w:tcMar>
              <w:top w:type="dxa" w:w="80"/>
              <w:left w:type="dxa" w:w="120"/>
              <w:bottom w:type="dxa" w:w="80"/>
              <w:right w:type="dxa" w:w="120"/>
            </w:tcMar>
            <w:vAlign w:val="center"/>
          </w:tcPr>
          <w:p>
            <w:r>
              <w:rPr>
                <w:b w:val="false"/>
                <w:bCs w:val="false"/>
                <w:color w:val="000000"/>
                <w:sz w:val="20"/>
                <w:szCs w:val="20"/>
              </w:rPr>
              <w:t xml:space="preserve">SAP IAS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IPS</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15</w:t>
            </w:r>
          </w:p>
        </w:tc>
        <w:tc>
          <w:tcPr>
            <w:tcW w:type="dxa" w:w="8200"/>
            <w:tcMar>
              <w:top w:type="dxa" w:w="80"/>
              <w:left w:type="dxa" w:w="120"/>
              <w:bottom w:type="dxa" w:w="80"/>
              <w:right w:type="dxa" w:w="120"/>
            </w:tcMar>
            <w:vAlign w:val="center"/>
          </w:tcPr>
          <w:p>
            <w:r>
              <w:rPr>
                <w:b w:val="false"/>
                <w:bCs w:val="false"/>
                <w:color w:val="000000"/>
                <w:sz w:val="20"/>
                <w:szCs w:val="20"/>
              </w:rPr>
              <w:t xml:space="preserve">SAP MDG</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CPI</w:t>
            </w:r>
          </w:p>
        </w:tc>
      </w:tr>
    </w:tbl>
    <w:p>
      <w:pPr>
        <w:spacing w:after="200"/>
      </w:pPr>
    </w:p>
    <w:p>
      <w:pPr>
        <w:pStyle w:val="Heading1"/>
        <w:spacing w:after="160" w:before="360"/>
      </w:pPr>
      <w:r>
        <w:rPr>
          <w:color w:val="1F3864"/>
        </w:rPr>
        <w:t xml:space="preserve">3. Extended / Target Landscape</w:t>
      </w:r>
    </w:p>
    <w:p>
      <w:pPr>
        <w:spacing w:after="160"/>
      </w:pPr>
      <w:r>
        <w:rPr>
          <w:b w:val="false"/>
          <w:bCs w:val="false"/>
          <w:i w:val="false"/>
          <w:iCs w:val="false"/>
        </w:rPr>
        <w:t xml:space="preserve">The following application components extend the landscape as part of the target state and continuous innovation plateau: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Application Component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SAP Business Technology Platform - Extension Factory</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Signavio Process Manager</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SAP Fieldglass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Document and Reporting Compliance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SAP Sustainability Footprint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Master Data Integration</w:t>
            </w:r>
          </w:p>
        </w:tc>
      </w:tr>
      <w:tr>
        <w:tc>
          <w:tcPr>
            <w:tcW w:type="dxa" w:w="800"/>
            <w:tcMar>
              <w:top w:type="dxa" w:w="80"/>
              <w:left w:type="dxa" w:w="120"/>
              <w:bottom w:type="dxa" w:w="80"/>
              <w:right w:type="dxa" w:w="120"/>
            </w:tcMar>
            <w:vAlign w:val="center"/>
          </w:tcPr>
          <w:p>
            <w:r>
              <w:rPr>
                <w:b w:val="false"/>
                <w:bCs w:val="false"/>
                <w:color w:val="000000"/>
                <w:sz w:val="20"/>
                <w:szCs w:val="20"/>
              </w:rPr>
              <w:t xml:space="preserve">7</w:t>
            </w:r>
          </w:p>
        </w:tc>
        <w:tc>
          <w:tcPr>
            <w:tcW w:type="dxa" w:w="8200"/>
            <w:tcMar>
              <w:top w:type="dxa" w:w="80"/>
              <w:left w:type="dxa" w:w="120"/>
              <w:bottom w:type="dxa" w:w="80"/>
              <w:right w:type="dxa" w:w="120"/>
            </w:tcMar>
            <w:vAlign w:val="center"/>
          </w:tcPr>
          <w:p>
            <w:r>
              <w:rPr>
                <w:b w:val="false"/>
                <w:bCs w:val="false"/>
                <w:color w:val="000000"/>
                <w:sz w:val="20"/>
                <w:szCs w:val="20"/>
              </w:rPr>
              <w:t xml:space="preserve">SAP Cloud ALM</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Business Application Studio</w:t>
            </w:r>
          </w:p>
        </w:tc>
      </w:tr>
      <w:tr>
        <w:tc>
          <w:tcPr>
            <w:tcW w:type="dxa" w:w="800"/>
            <w:tcMar>
              <w:top w:type="dxa" w:w="80"/>
              <w:left w:type="dxa" w:w="120"/>
              <w:bottom w:type="dxa" w:w="80"/>
              <w:right w:type="dxa" w:w="120"/>
            </w:tcMar>
            <w:vAlign w:val="center"/>
          </w:tcPr>
          <w:p>
            <w:r>
              <w:rPr>
                <w:b w:val="false"/>
                <w:bCs w:val="false"/>
                <w:color w:val="000000"/>
                <w:sz w:val="20"/>
                <w:szCs w:val="20"/>
              </w:rPr>
              <w:t xml:space="preserve">9</w:t>
            </w:r>
          </w:p>
        </w:tc>
        <w:tc>
          <w:tcPr>
            <w:tcW w:type="dxa" w:w="8200"/>
            <w:tcMar>
              <w:top w:type="dxa" w:w="80"/>
              <w:left w:type="dxa" w:w="120"/>
              <w:bottom w:type="dxa" w:w="80"/>
              <w:right w:type="dxa" w:w="120"/>
            </w:tcMar>
            <w:vAlign w:val="center"/>
          </w:tcPr>
          <w:p>
            <w:r>
              <w:rPr>
                <w:b w:val="false"/>
                <w:bCs w:val="false"/>
                <w:color w:val="000000"/>
                <w:sz w:val="20"/>
                <w:szCs w:val="20"/>
              </w:rPr>
              <w:t xml:space="preserve">SAP Task Center</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Work Zone</w:t>
            </w:r>
          </w:p>
        </w:tc>
      </w:tr>
    </w:tbl>
    <w:p>
      <w:pPr>
        <w:spacing w:after="200"/>
      </w:pPr>
    </w:p>
    <w:p>
      <w:pPr>
        <w:pStyle w:val="Heading1"/>
        <w:spacing w:after="160" w:before="360"/>
      </w:pPr>
      <w:r>
        <w:rPr>
          <w:color w:val="1F3864"/>
        </w:rPr>
        <w:t xml:space="preserve">4. Application Services</w:t>
      </w:r>
    </w:p>
    <w:p>
      <w:pPr>
        <w:spacing w:after="160"/>
      </w:pPr>
      <w:r>
        <w:rPr>
          <w:b w:val="false"/>
          <w:bCs w:val="false"/>
          <w:i w:val="false"/>
          <w:iCs w:val="false"/>
        </w:rPr>
        <w:t xml:space="preserve">Application Components realize the following Application Services, which in turn support the Business Processes defined in Phase B:</w:t>
      </w:r>
    </w:p>
    <w:p>
      <w:pPr>
        <w:pStyle w:val="ListParagraph"/>
        <w:numPr>
          <w:ilvl w:val="0"/>
          <w:numId w:val="2"/>
        </w:numPr>
        <w:spacing w:after="80"/>
      </w:pPr>
      <w:r>
        <w:t xml:space="preserve">Order Management Service</w:t>
      </w:r>
    </w:p>
    <w:p>
      <w:pPr>
        <w:pStyle w:val="ListParagraph"/>
        <w:numPr>
          <w:ilvl w:val="0"/>
          <w:numId w:val="2"/>
        </w:numPr>
        <w:spacing w:after="80"/>
      </w:pPr>
      <w:r>
        <w:t xml:space="preserve">Invoice Processing Service</w:t>
      </w:r>
    </w:p>
    <w:p>
      <w:pPr>
        <w:pStyle w:val="ListParagraph"/>
        <w:numPr>
          <w:ilvl w:val="0"/>
          <w:numId w:val="2"/>
        </w:numPr>
        <w:spacing w:after="80"/>
      </w:pPr>
      <w:r>
        <w:t xml:space="preserve">Master Data Service</w:t>
      </w:r>
    </w:p>
    <w:p>
      <w:pPr>
        <w:pStyle w:val="ListParagraph"/>
        <w:numPr>
          <w:ilvl w:val="0"/>
          <w:numId w:val="2"/>
        </w:numPr>
        <w:spacing w:after="80"/>
      </w:pPr>
      <w:r>
        <w:t xml:space="preserve">Payroll Processing Service</w:t>
      </w:r>
    </w:p>
    <w:p>
      <w:pPr>
        <w:pStyle w:val="ListParagraph"/>
        <w:numPr>
          <w:ilvl w:val="0"/>
          <w:numId w:val="2"/>
        </w:numPr>
        <w:spacing w:after="80"/>
      </w:pPr>
      <w:r>
        <w:t xml:space="preserve">Analytics &amp; Reporting Service</w:t>
      </w:r>
    </w:p>
    <w:p>
      <w:pPr>
        <w:pStyle w:val="ListParagraph"/>
        <w:numPr>
          <w:ilvl w:val="0"/>
          <w:numId w:val="2"/>
        </w:numPr>
        <w:spacing w:after="80"/>
      </w:pPr>
      <w:r>
        <w:t xml:space="preserve">Integration Orchestration Service</w:t>
      </w:r>
    </w:p>
    <w:p>
      <w:pPr>
        <w:pStyle w:val="ListParagraph"/>
        <w:numPr>
          <w:ilvl w:val="0"/>
          <w:numId w:val="2"/>
        </w:numPr>
        <w:spacing w:after="80"/>
      </w:pPr>
      <w:r>
        <w:t xml:space="preserve">Identity &amp; Access Service</w:t>
      </w:r>
    </w:p>
    <w:p>
      <w:pPr>
        <w:pStyle w:val="ListParagraph"/>
        <w:numPr>
          <w:ilvl w:val="0"/>
          <w:numId w:val="2"/>
        </w:numPr>
        <w:spacing w:after="80"/>
      </w:pPr>
      <w:r>
        <w:t xml:space="preserve">Workflow Automation Service</w:t>
      </w:r>
    </w:p>
    <w:p>
      <w:pPr>
        <w:pStyle w:val="ListParagraph"/>
        <w:numPr>
          <w:ilvl w:val="0"/>
          <w:numId w:val="2"/>
        </w:numPr>
        <w:spacing w:after="80"/>
      </w:pPr>
      <w:r>
        <w:t xml:space="preserve">Notification Service</w:t>
      </w:r>
    </w:p>
    <w:p>
      <w:pPr>
        <w:pStyle w:val="ListParagraph"/>
        <w:numPr>
          <w:ilvl w:val="0"/>
          <w:numId w:val="2"/>
        </w:numPr>
        <w:spacing w:after="80"/>
      </w:pPr>
      <w:r>
        <w:t xml:space="preserve">Document Management Service</w:t>
      </w:r>
    </w:p>
    <w:p>
      <w:pPr>
        <w:pStyle w:val="ListParagraph"/>
        <w:numPr>
          <w:ilvl w:val="0"/>
          <w:numId w:val="2"/>
        </w:numPr>
        <w:spacing w:after="80"/>
      </w:pPr>
      <w:r>
        <w:t xml:space="preserve">Data Replication Service</w:t>
      </w:r>
    </w:p>
    <w:p>
      <w:pPr>
        <w:pStyle w:val="ListParagraph"/>
        <w:numPr>
          <w:ilvl w:val="0"/>
          <w:numId w:val="2"/>
        </w:numPr>
        <w:spacing w:after="80"/>
      </w:pPr>
      <w:r>
        <w:t xml:space="preserve">API Management Service</w:t>
      </w:r>
    </w:p>
    <w:p>
      <w:pPr>
        <w:pStyle w:val="ListParagraph"/>
        <w:numPr>
          <w:ilvl w:val="0"/>
          <w:numId w:val="2"/>
        </w:numPr>
        <w:spacing w:after="80"/>
      </w:pPr>
      <w:r>
        <w:t xml:space="preserve">Extension App Hosting Service</w:t>
      </w:r>
    </w:p>
    <w:p>
      <w:pPr>
        <w:pStyle w:val="ListParagraph"/>
        <w:numPr>
          <w:ilvl w:val="0"/>
          <w:numId w:val="2"/>
        </w:numPr>
        <w:spacing w:after="80"/>
      </w:pPr>
      <w:r>
        <w:t xml:space="preserve">Event Streaming Service</w:t>
      </w:r>
    </w:p>
    <w:p>
      <w:pPr>
        <w:pStyle w:val="Heading1"/>
        <w:spacing w:after="160" w:before="360"/>
      </w:pPr>
      <w:r>
        <w:rPr>
          <w:color w:val="1F3864"/>
        </w:rPr>
        <w:t xml:space="preserve">5. Application Interfaces</w:t>
      </w:r>
    </w:p>
    <w:p>
      <w:pPr>
        <w:spacing w:after="160"/>
      </w:pPr>
      <w:r>
        <w:rPr>
          <w:b w:val="false"/>
          <w:bCs w:val="false"/>
          <w:i w:val="false"/>
          <w:iCs w:val="false"/>
        </w:rPr>
        <w:t xml:space="preserve">Technical interfaces exposed by application components, primarily brokered through SAP Integration Suite and SAP Event Mesh:</w:t>
      </w:r>
    </w:p>
    <w:p>
      <w:pPr>
        <w:pStyle w:val="ListParagraph"/>
        <w:numPr>
          <w:ilvl w:val="0"/>
          <w:numId w:val="2"/>
        </w:numPr>
        <w:spacing w:after="80"/>
      </w:pPr>
      <w:r>
        <w:t xml:space="preserve">S/4HANA OData API</w:t>
      </w:r>
    </w:p>
    <w:p>
      <w:pPr>
        <w:pStyle w:val="ListParagraph"/>
        <w:numPr>
          <w:ilvl w:val="0"/>
          <w:numId w:val="2"/>
        </w:numPr>
        <w:spacing w:after="80"/>
      </w:pPr>
      <w:r>
        <w:t xml:space="preserve">Ariba Network Interface</w:t>
      </w:r>
    </w:p>
    <w:p>
      <w:pPr>
        <w:pStyle w:val="ListParagraph"/>
        <w:numPr>
          <w:ilvl w:val="0"/>
          <w:numId w:val="2"/>
        </w:numPr>
        <w:spacing w:after="80"/>
      </w:pPr>
      <w:r>
        <w:t xml:space="preserve">SuccessFactors API</w:t>
      </w:r>
    </w:p>
    <w:p>
      <w:pPr>
        <w:pStyle w:val="ListParagraph"/>
        <w:numPr>
          <w:ilvl w:val="0"/>
          <w:numId w:val="2"/>
        </w:numPr>
        <w:spacing w:after="80"/>
      </w:pPr>
      <w:r>
        <w:t xml:space="preserve">Concur Expense API</w:t>
      </w:r>
    </w:p>
    <w:p>
      <w:pPr>
        <w:pStyle w:val="ListParagraph"/>
        <w:numPr>
          <w:ilvl w:val="0"/>
          <w:numId w:val="2"/>
        </w:numPr>
        <w:spacing w:after="80"/>
      </w:pPr>
      <w:r>
        <w:t xml:space="preserve">Datasphere Data API</w:t>
      </w:r>
    </w:p>
    <w:p>
      <w:pPr>
        <w:pStyle w:val="ListParagraph"/>
        <w:numPr>
          <w:ilvl w:val="0"/>
          <w:numId w:val="2"/>
        </w:numPr>
        <w:spacing w:after="80"/>
      </w:pPr>
      <w:r>
        <w:t xml:space="preserve">Integration Suite REST Adapter</w:t>
      </w:r>
    </w:p>
    <w:p>
      <w:pPr>
        <w:pStyle w:val="ListParagraph"/>
        <w:numPr>
          <w:ilvl w:val="0"/>
          <w:numId w:val="2"/>
        </w:numPr>
        <w:spacing w:after="80"/>
      </w:pPr>
      <w:r>
        <w:t xml:space="preserve">Event Mesh AMQP Interface</w:t>
      </w:r>
    </w:p>
    <w:p>
      <w:pPr>
        <w:pStyle w:val="ListParagraph"/>
        <w:numPr>
          <w:ilvl w:val="0"/>
          <w:numId w:val="2"/>
        </w:numPr>
        <w:spacing w:after="80"/>
      </w:pPr>
      <w:r>
        <w:t xml:space="preserve">MDG Data Governance API</w:t>
      </w:r>
    </w:p>
    <w:p>
      <w:pPr>
        <w:pStyle w:val="ListParagraph"/>
        <w:numPr>
          <w:ilvl w:val="0"/>
          <w:numId w:val="2"/>
        </w:numPr>
        <w:spacing w:after="80"/>
      </w:pPr>
      <w:r>
        <w:t xml:space="preserve">BTP Destination Service Interface</w:t>
      </w:r>
    </w:p>
    <w:p>
      <w:pPr>
        <w:pStyle w:val="ListParagraph"/>
        <w:numPr>
          <w:ilvl w:val="0"/>
          <w:numId w:val="2"/>
        </w:numPr>
        <w:spacing w:after="80"/>
      </w:pPr>
      <w:r>
        <w:t xml:space="preserve">HANA Cloud SQL Interface</w:t>
      </w:r>
    </w:p>
    <w:p>
      <w:pPr>
        <w:pStyle w:val="Heading1"/>
        <w:spacing w:after="160" w:before="360"/>
      </w:pPr>
      <w:r>
        <w:rPr>
          <w:color w:val="1F3864"/>
        </w:rPr>
        <w:t xml:space="preserve">6. Application Functions</w:t>
      </w:r>
    </w:p>
    <w:p>
      <w:pPr>
        <w:pStyle w:val="ListParagraph"/>
        <w:numPr>
          <w:ilvl w:val="0"/>
          <w:numId w:val="2"/>
        </w:numPr>
        <w:spacing w:after="80"/>
      </w:pPr>
      <w:r>
        <w:t xml:space="preserve">Order Processing Function</w:t>
      </w:r>
    </w:p>
    <w:p>
      <w:pPr>
        <w:pStyle w:val="ListParagraph"/>
        <w:numPr>
          <w:ilvl w:val="0"/>
          <w:numId w:val="2"/>
        </w:numPr>
        <w:spacing w:after="80"/>
      </w:pPr>
      <w:r>
        <w:t xml:space="preserve">Invoice Matching Function</w:t>
      </w:r>
    </w:p>
    <w:p>
      <w:pPr>
        <w:pStyle w:val="ListParagraph"/>
        <w:numPr>
          <w:ilvl w:val="0"/>
          <w:numId w:val="2"/>
        </w:numPr>
        <w:spacing w:after="80"/>
      </w:pPr>
      <w:r>
        <w:t xml:space="preserve">Payroll Calculation Function</w:t>
      </w:r>
    </w:p>
    <w:p>
      <w:pPr>
        <w:pStyle w:val="ListParagraph"/>
        <w:numPr>
          <w:ilvl w:val="0"/>
          <w:numId w:val="2"/>
        </w:numPr>
        <w:spacing w:after="80"/>
      </w:pPr>
      <w:r>
        <w:t xml:space="preserve">Demand Forecasting Function</w:t>
      </w:r>
    </w:p>
    <w:p>
      <w:pPr>
        <w:pStyle w:val="ListParagraph"/>
        <w:numPr>
          <w:ilvl w:val="0"/>
          <w:numId w:val="2"/>
        </w:numPr>
        <w:spacing w:after="80"/>
      </w:pPr>
      <w:r>
        <w:t xml:space="preserve">Data Replication Function</w:t>
      </w:r>
    </w:p>
    <w:p>
      <w:pPr>
        <w:pStyle w:val="ListParagraph"/>
        <w:numPr>
          <w:ilvl w:val="0"/>
          <w:numId w:val="2"/>
        </w:numPr>
        <w:spacing w:after="80"/>
      </w:pPr>
      <w:r>
        <w:t xml:space="preserve">Identity Federation Function</w:t>
      </w:r>
    </w:p>
    <w:p>
      <w:pPr>
        <w:pStyle w:val="ListParagraph"/>
        <w:numPr>
          <w:ilvl w:val="0"/>
          <w:numId w:val="2"/>
        </w:numPr>
        <w:spacing w:after="80"/>
      </w:pPr>
      <w:r>
        <w:t xml:space="preserve">Workflow Orchestration Function</w:t>
      </w:r>
    </w:p>
    <w:p>
      <w:pPr>
        <w:pStyle w:val="ListParagraph"/>
        <w:numPr>
          <w:ilvl w:val="0"/>
          <w:numId w:val="2"/>
        </w:numPr>
        <w:spacing w:after="80"/>
      </w:pPr>
      <w:r>
        <w:t xml:space="preserve">Report Generation Function</w:t>
      </w:r>
    </w:p>
    <w:p>
      <w:pPr>
        <w:pStyle w:val="ListParagraph"/>
        <w:numPr>
          <w:ilvl w:val="0"/>
          <w:numId w:val="2"/>
        </w:numPr>
        <w:spacing w:after="80"/>
      </w:pPr>
      <w:r>
        <w:t xml:space="preserve">Master Data Matching Function</w:t>
      </w:r>
    </w:p>
    <w:p>
      <w:pPr>
        <w:pStyle w:val="ListParagraph"/>
        <w:numPr>
          <w:ilvl w:val="0"/>
          <w:numId w:val="2"/>
        </w:numPr>
        <w:spacing w:after="80"/>
      </w:pPr>
      <w:r>
        <w:t xml:space="preserve">Event Routing Function</w:t>
      </w:r>
    </w:p>
    <w:p>
      <w:pPr>
        <w:pStyle w:val="Heading1"/>
        <w:spacing w:after="160" w:before="360"/>
      </w:pPr>
      <w:r>
        <w:rPr>
          <w:color w:val="1F3864"/>
        </w:rPr>
        <w:t xml:space="preserve">7. Integration Architecture</w:t>
      </w:r>
    </w:p>
    <w:p>
      <w:pPr>
        <w:spacing w:after="160"/>
      </w:pPr>
      <w:r>
        <w:rPr>
          <w:b w:val="false"/>
          <w:bCs w:val="false"/>
          <w:i w:val="false"/>
          <w:iCs w:val="false"/>
        </w:rPr>
        <w:t xml:space="preserve">SAP Integration Suite is the primary integration hub for the landscape, brokering data exchange between SAP S/4HANA Cloud, SAP Ariba, SAP SuccessFactors, SAP Concur, SAP Datasphere, and SAP BTP extension applications, using event-driven flows via SAP Event Mesh where near-real-time propagation is required. The full set of integration flows is modelled in the “Integration Architecture” view of the SAP Enterprise Repository.</w:t>
      </w:r>
    </w:p>
    <w:p>
      <w:pPr>
        <w:pStyle w:val="Heading1"/>
        <w:spacing w:after="160" w:before="360"/>
      </w:pPr>
      <w:r>
        <w:rPr>
          <w:color w:val="1F3864"/>
        </w:rPr>
        <w:t xml:space="preserve">8. Clean Core Compliance</w:t>
      </w:r>
    </w:p>
    <w:p>
      <w:pPr>
        <w:spacing w:after="160"/>
      </w:pPr>
      <w:r>
        <w:rPr>
          <w:b w:val="false"/>
          <w:bCs w:val="false"/>
          <w:i w:val="false"/>
          <w:iCs w:val="false"/>
        </w:rPr>
        <w:t xml:space="preserve">In line with the “Keep the Core Clean” architecture principle, all custom extensions are built on SAP BTP (via SAP Build Apps, SAP Build Process Automation, and SAP Business Application Studio) rather than through modification of the SAP S/4HANA Cloud core, satisfying the requirement “System shall support SAP Clean Core extensibility.”</w:t>
      </w:r>
    </w:p>
    <w:p>
      <w:pPr>
        <w:pStyle w:val="Heading1"/>
        <w:spacing w:after="160" w:before="360"/>
      </w:pPr>
      <w:r>
        <w:rPr>
          <w:color w:val="1F3864"/>
        </w:rPr>
        <w:t xml:space="preserve">9. Identity and Access</w:t>
      </w:r>
    </w:p>
    <w:p>
      <w:pPr>
        <w:spacing w:after="160"/>
      </w:pPr>
      <w:r>
        <w:rPr>
          <w:b w:val="false"/>
          <w:bCs w:val="false"/>
          <w:i w:val="false"/>
          <w:iCs w:val="false"/>
        </w:rPr>
        <w:t xml:space="preserve">SAP Identity Authentication Service (IAS) and SAP Identity Provisioning Service (IPS) provide federated single sign-on and identity lifecycle management across all application components, satisfying the requirement “System shall support SSO via SAP IAS.”</w:t>
      </w:r>
    </w:p>
    <w:p>
      <w:pPr>
        <w:pStyle w:val="Heading1"/>
        <w:spacing w:after="160" w:before="360"/>
      </w:pPr>
      <w:r>
        <w:rPr>
          <w:color w:val="1F3864"/>
        </w:rPr>
        <w:t xml:space="preserve">10. Gap Summary (Application Layer)</w:t>
      </w:r>
    </w:p>
    <w:p>
      <w:pPr>
        <w:pStyle w:val="ListParagraph"/>
        <w:numPr>
          <w:ilvl w:val="0"/>
          <w:numId w:val="2"/>
        </w:numPr>
        <w:spacing w:after="80"/>
      </w:pPr>
      <w:r>
        <w:t xml:space="preserve">Integration Coverage Gap</w:t>
      </w:r>
    </w:p>
    <w:p>
      <w:pPr>
        <w:pStyle w:val="ListParagraph"/>
        <w:numPr>
          <w:ilvl w:val="0"/>
          <w:numId w:val="2"/>
        </w:numPr>
        <w:spacing w:after="80"/>
      </w:pPr>
      <w:r>
        <w:t xml:space="preserve">Security &amp; Compliance Gap</w:t>
      </w:r>
    </w:p>
    <w:p>
      <w:pPr>
        <w:pStyle w:val="Heading1"/>
        <w:spacing w:after="160" w:before="360"/>
      </w:pPr>
      <w:r>
        <w:rPr>
          <w:color w:val="1F3864"/>
        </w:rPr>
        <w:t xml:space="preserve">11. Traceability</w:t>
      </w:r>
    </w:p>
    <w:p>
      <w:pPr>
        <w:spacing w:after="160"/>
      </w:pPr>
      <w:r>
        <w:rPr>
          <w:b w:val="false"/>
          <w:bCs w:val="false"/>
          <w:i w:val="false"/>
          <w:iCs w:val="false"/>
        </w:rPr>
        <w:t xml:space="preserve">All application components, services, interfaces, and functions listed above are modelled in the “Application” organization folder of the SAP Enterprise Repository and rendered across the “Application Landscape,” “Application Landscape (Target State),” “SAP BTP,” and “Integration Architecture” views.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Enterprise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Application Architecture – Phase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2026-08-13T09:31:15.700Z</dcterms:created>
  <dcterms:modified xsi:type="dcterms:W3CDTF">2026-08-13T09:31:15.700Z</dcterms:modified>
</cp:coreProperties>
</file>

<file path=docProps/custom.xml><?xml version="1.0" encoding="utf-8"?>
<Properties xmlns="http://schemas.openxmlformats.org/officeDocument/2006/custom-properties" xmlns:vt="http://schemas.openxmlformats.org/officeDocument/2006/docPropsVTypes"/>
</file>