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Technology Architecture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ADM Phase D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D – Technology Architecture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Technology Architecture describes the infrastructure that hosts the SAP RISE with SAP S/4HANA Cloud landscape: compute and database nodes, devices, system software, technology services, and networks. It elaborates the Technology layer of the SAP Enterprise Repository.</w:t>
      </w:r>
    </w:p>
    <w:p>
      <w:pPr>
        <w:pStyle w:val="Heading1"/>
        <w:spacing w:after="160" w:before="360"/>
      </w:pPr>
      <w:r>
        <w:rPr>
          <w:color w:val="1F3864"/>
        </w:rPr>
        <w:t xml:space="preserve">2. Infrastructure Nodes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following technology nodes host the application landscape, provided under the RISE with SAP hyperscaler-managed infrastructure model: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 Cloud Runtime (Hyperscaler)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Cloud Foundry Runtime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HANA Cloud Database Node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Integration Suite Runtime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Kubernetes Cluster - BTP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Fiori Front-End Server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Balancer Cluster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Disaster Recovery Site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&amp; Archiving Node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Cloud Connector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Network Gateway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VPN Gateway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&amp; Alerting Node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Build Server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Provider Node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Multi-Cloud Environment - Azure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Multi-Cloud Environment - AWS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BTP Multi-Cloud Environment - GCP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Data Center - EMEA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Regional Data Center - APAC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Devices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User Laptop Fleet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Device Fleet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&amp; Scan Devices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Firewall Appliance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Gateway Device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IoT Sensor Gateway</w:t>
      </w:r>
    </w:p>
    <w:p>
      <w:pPr>
        <w:pStyle w:val="Heading1"/>
        <w:spacing w:after="160" w:before="360"/>
      </w:pPr>
      <w:r>
        <w:rPr>
          <w:color w:val="1F3864"/>
        </w:rPr>
        <w:t xml:space="preserve">4. System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HANA Database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Foundry Runtime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Kubernetes Container Platform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Web Dispatcher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Linux OS Image - SAP Certified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Cloud Connector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Pipeline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 Agent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Agent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Federation Software</w:t>
      </w:r>
    </w:p>
    <w:p>
      <w:pPr>
        <w:pStyle w:val="Heading1"/>
        <w:spacing w:after="160" w:before="360"/>
      </w:pPr>
      <w:r>
        <w:rPr>
          <w:color w:val="1F3864"/>
        </w:rPr>
        <w:t xml:space="preserve">5. Technology Services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Infrastructure services consumed by the application landscape: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Provisioning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Database-as-a-Service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 Orchestration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Connectivity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&amp; Restore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Monitoring &amp; Alerting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Federation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Disaster Recovery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Management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Aggregation Service</w:t>
      </w:r>
    </w:p>
    <w:p>
      <w:pPr>
        <w:pStyle w:val="Heading1"/>
        <w:spacing w:after="160" w:before="360"/>
      </w:pPr>
      <w:r>
        <w:rPr>
          <w:color w:val="1F3864"/>
        </w:rPr>
        <w:t xml:space="preserve">6. Artifacts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S/4HANA Deployment Package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BTP Application Archive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Backup Artifact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Pipeline Definition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 Image - Extension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Baseline Artifact</w:t>
      </w:r>
    </w:p>
    <w:p>
      <w:pPr>
        <w:pStyle w:val="Heading1"/>
        <w:spacing w:after="160" w:before="360"/>
      </w:pPr>
      <w:r>
        <w:rPr>
          <w:color w:val="1F3864"/>
        </w:rPr>
        <w:t xml:space="preserve">7. Networks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 WAN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Hyperscaler Private Link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Cloud Connector Tunnel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 Edge Network</w:t>
      </w:r>
    </w:p>
    <w:p>
      <w:pPr>
        <w:pStyle w:val="Heading1"/>
        <w:spacing w:after="160" w:before="360"/>
      </w:pPr>
      <w:r>
        <w:rPr>
          <w:color w:val="1F3864"/>
        </w:rPr>
        <w:t xml:space="preserve">8. Multi-Cloud Strategy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SAP BTP is deployed across multiple hyperscaler environments (Azure, AWS, GCP) per region to satisfy data residency, latency, and disaster-recovery requirements. Regional data centers in EMEA and APAC host region-local SAP S/4HANA Cloud instances, replicated to the Disaster Recovery Site.</w:t>
      </w:r>
    </w:p>
    <w:p>
      <w:pPr>
        <w:pStyle w:val="Heading1"/>
        <w:spacing w:after="160" w:before="360"/>
      </w:pPr>
      <w:r>
        <w:rPr>
          <w:color w:val="1F3864"/>
        </w:rPr>
        <w:t xml:space="preserve">9. Availability and Resilience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Technology Architecture is designed to satisfy the requirement “System shall provide 99.9% uptime SLA” through load-balanced runtime clusters, a dedicated Disaster Recovery Service, and automated Backup &amp; Restore and Monitoring &amp; Alerting Services across all infrastructure nodes.</w:t>
      </w:r>
    </w:p>
    <w:p>
      <w:pPr>
        <w:pStyle w:val="Heading1"/>
        <w:spacing w:after="160" w:before="360"/>
      </w:pPr>
      <w:r>
        <w:rPr>
          <w:color w:val="1F3864"/>
        </w:rPr>
        <w:t xml:space="preserve">10.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segmentation via the Corporate Network Gateway and VPN Gateway.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 Cloud Connector Tunnel for secure on-premise to cloud connectivity where legacy systems remain.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Management Service for credential and certificate lifecycle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Identity Federation Service integrated with SAP IAS / SAP IPS (see Application Architecture, Phase C).</w:t>
      </w:r>
    </w:p>
    <w:p>
      <w:pPr>
        <w:pStyle w:val="Heading1"/>
        <w:spacing w:after="160" w:before="360"/>
      </w:pPr>
      <w:r>
        <w:rPr>
          <w:color w:val="1F3864"/>
        </w:rPr>
        <w:t xml:space="preserve">11. Gap Summary (Technology Layer)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&amp; Compliance Gap</w:t>
      </w:r>
    </w:p>
    <w:p>
      <w:pPr>
        <w:pStyle w:val="Heading1"/>
        <w:spacing w:after="160" w:before="360"/>
      </w:pPr>
      <w:r>
        <w:rPr>
          <w:color w:val="1F3864"/>
        </w:rPr>
        <w:t xml:space="preserve">12.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All nodes, devices, system software, services, artifacts, and networks listed above are modelled in the “Technology &amp; Physical” organization folder of the SAP Enterprise Repository and rendered in the “Technology Architecture” and “SAP BTP” views.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Technology Architecture – Phase 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2026-08-13T09:31:15.862Z</dcterms:created>
  <dcterms:modified xsi:type="dcterms:W3CDTF">2026-08-13T09:31:15.862Z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