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Architecture Requirements Specification</w:t>
      </w:r>
    </w:p>
    <w:p>
      <w:pPr>
        <w:spacing w:after="1200"/>
      </w:pPr>
      <w:r>
        <w:rPr>
          <w:i/>
          <w:iCs/>
          <w:color w:val="595959"/>
          <w:sz w:val="28"/>
          <w:szCs w:val="28"/>
        </w:rPr>
        <w:t xml:space="preserve">TOGAF ADM – SAP Enterprise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Cross-Phase – Requirements Management</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Enterprise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Architecture Requirements Specification consolidates the requirements captured in the Motivation layer of the SAP Enterprise Repository. It is maintained continuously across all ADM phases via the Requirements Management process and is used as the basis for compliance assessment in Phase G.</w:t>
      </w:r>
    </w:p>
    <w:p>
      <w:pPr>
        <w:pStyle w:val="Heading1"/>
        <w:spacing w:after="160" w:before="360"/>
      </w:pPr>
      <w:r>
        <w:rPr>
          <w:color w:val="1F3864"/>
        </w:rPr>
        <w:t xml:space="preserve">2. Requirements Traceability Matrix</w:t>
      </w:r>
    </w:p>
    <w:p>
      <w:pPr>
        <w:spacing w:after="160"/>
      </w:pPr>
      <w:r>
        <w:rPr>
          <w:b w:val="false"/>
          <w:bCs w:val="false"/>
          <w:i w:val="false"/>
          <w:iCs w:val="false"/>
        </w:rPr>
        <w:t xml:space="preserve">Each requirement realizes one of the goals defined in the Architecture Vision and is, in turn, realized by one or more application components in the target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2600"/>
      </w:tblGrid>
      <w:tr>
        <w:trPr>
          <w:tblHeader/>
        </w:trPr>
        <w:tc>
          <w:tcPr>
            <w:tcW w:type="dxa" w:w="1100"/>
            <w:shd w:fill="1F3864" w:val="clear"/>
            <w:tcMar>
              <w:top w:type="dxa" w:w="80"/>
              <w:left w:type="dxa" w:w="120"/>
              <w:bottom w:type="dxa" w:w="80"/>
              <w:right w:type="dxa" w:w="120"/>
            </w:tcMar>
            <w:vAlign w:val="center"/>
          </w:tcPr>
          <w:p>
            <w:r>
              <w:rPr>
                <w:b/>
                <w:bCs/>
                <w:color w:val="FFFFFF"/>
                <w:sz w:val="20"/>
                <w:szCs w:val="20"/>
              </w:rPr>
              <w:t xml:space="preserve">Ref</w:t>
            </w:r>
          </w:p>
        </w:tc>
        <w:tc>
          <w:tcPr>
            <w:tcW w:type="dxa" w:w="5300"/>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2600"/>
            <w:shd w:fill="1F3864" w:val="clear"/>
            <w:tcMar>
              <w:top w:type="dxa" w:w="80"/>
              <w:left w:type="dxa" w:w="120"/>
              <w:bottom w:type="dxa" w:w="80"/>
              <w:right w:type="dxa" w:w="120"/>
            </w:tcMar>
            <w:vAlign w:val="center"/>
          </w:tcPr>
          <w:p>
            <w:r>
              <w:rPr>
                <w:b/>
                <w:bCs/>
                <w:color w:val="FFFFFF"/>
                <w:sz w:val="20"/>
                <w:szCs w:val="20"/>
              </w:rPr>
              <w:t xml:space="preserve">Related Goal</w:t>
            </w:r>
          </w:p>
        </w:tc>
      </w:tr>
      <w:tr>
        <w:tc>
          <w:tcPr>
            <w:tcW w:type="dxa" w:w="1100"/>
            <w:tcMar>
              <w:top w:type="dxa" w:w="80"/>
              <w:left w:type="dxa" w:w="120"/>
              <w:bottom w:type="dxa" w:w="80"/>
              <w:right w:type="dxa" w:w="120"/>
            </w:tcMar>
            <w:vAlign w:val="center"/>
          </w:tcPr>
          <w:p>
            <w:r>
              <w:rPr>
                <w:b w:val="false"/>
                <w:bCs w:val="false"/>
                <w:color w:val="000000"/>
                <w:sz w:val="20"/>
                <w:szCs w:val="20"/>
              </w:rPr>
              <w:t xml:space="preserve">REQ-001</w:t>
            </w:r>
          </w:p>
        </w:tc>
        <w:tc>
          <w:tcPr>
            <w:tcW w:type="dxa" w:w="5300"/>
            <w:tcMar>
              <w:top w:type="dxa" w:w="80"/>
              <w:left w:type="dxa" w:w="120"/>
              <w:bottom w:type="dxa" w:w="80"/>
              <w:right w:type="dxa" w:w="120"/>
            </w:tcMar>
            <w:vAlign w:val="center"/>
          </w:tcPr>
          <w:p>
            <w:r>
              <w:rPr>
                <w:b w:val="false"/>
                <w:bCs w:val="false"/>
                <w:color w:val="000000"/>
                <w:sz w:val="20"/>
                <w:szCs w:val="20"/>
              </w:rPr>
              <w:t xml:space="preserve">System shall support SAP Clean Core extensibility</w:t>
            </w:r>
          </w:p>
        </w:tc>
        <w:tc>
          <w:tcPr>
            <w:tcW w:type="dxa" w:w="2600"/>
            <w:tcMar>
              <w:top w:type="dxa" w:w="80"/>
              <w:left w:type="dxa" w:w="120"/>
              <w:bottom w:type="dxa" w:w="80"/>
              <w:right w:type="dxa" w:w="120"/>
            </w:tcMar>
            <w:vAlign w:val="center"/>
          </w:tcPr>
          <w:p>
            <w:r>
              <w:rPr>
                <w:b w:val="false"/>
                <w:bCs w:val="false"/>
                <w:color w:val="000000"/>
                <w:sz w:val="20"/>
                <w:szCs w:val="20"/>
              </w:rPr>
              <w:t xml:space="preserve">Migrate to SAP S/4HANA Cloud by Target Date</w:t>
            </w:r>
          </w:p>
        </w:tc>
      </w:tr>
      <w:tr>
        <w:tc>
          <w:tcPr>
            <w:tcW w:type="dxa" w:w="1100"/>
            <w:shd w:fill="F2F2F2" w:val="clear"/>
            <w:tcMar>
              <w:top w:type="dxa" w:w="80"/>
              <w:left w:type="dxa" w:w="120"/>
              <w:bottom w:type="dxa" w:w="80"/>
              <w:right w:type="dxa" w:w="120"/>
            </w:tcMar>
            <w:vAlign w:val="center"/>
          </w:tcPr>
          <w:p>
            <w:r>
              <w:rPr>
                <w:b w:val="false"/>
                <w:bCs w:val="false"/>
                <w:color w:val="000000"/>
                <w:sz w:val="20"/>
                <w:szCs w:val="20"/>
              </w:rPr>
              <w:t xml:space="preserve">REQ-002</w:t>
            </w:r>
          </w:p>
        </w:tc>
        <w:tc>
          <w:tcPr>
            <w:tcW w:type="dxa" w:w="5300"/>
            <w:shd w:fill="F2F2F2" w:val="clear"/>
            <w:tcMar>
              <w:top w:type="dxa" w:w="80"/>
              <w:left w:type="dxa" w:w="120"/>
              <w:bottom w:type="dxa" w:w="80"/>
              <w:right w:type="dxa" w:w="120"/>
            </w:tcMar>
            <w:vAlign w:val="center"/>
          </w:tcPr>
          <w:p>
            <w:r>
              <w:rPr>
                <w:b w:val="false"/>
                <w:bCs w:val="false"/>
                <w:color w:val="000000"/>
                <w:sz w:val="20"/>
                <w:szCs w:val="20"/>
              </w:rPr>
              <w:t xml:space="preserve">System shall integrate via SAP Integration Suite</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Decommission Legacy ERP Landscape</w:t>
            </w:r>
          </w:p>
        </w:tc>
      </w:tr>
      <w:tr>
        <w:tc>
          <w:tcPr>
            <w:tcW w:type="dxa" w:w="1100"/>
            <w:tcMar>
              <w:top w:type="dxa" w:w="80"/>
              <w:left w:type="dxa" w:w="120"/>
              <w:bottom w:type="dxa" w:w="80"/>
              <w:right w:type="dxa" w:w="120"/>
            </w:tcMar>
            <w:vAlign w:val="center"/>
          </w:tcPr>
          <w:p>
            <w:r>
              <w:rPr>
                <w:b w:val="false"/>
                <w:bCs w:val="false"/>
                <w:color w:val="000000"/>
                <w:sz w:val="20"/>
                <w:szCs w:val="20"/>
              </w:rPr>
              <w:t xml:space="preserve">REQ-003</w:t>
            </w:r>
          </w:p>
        </w:tc>
        <w:tc>
          <w:tcPr>
            <w:tcW w:type="dxa" w:w="5300"/>
            <w:tcMar>
              <w:top w:type="dxa" w:w="80"/>
              <w:left w:type="dxa" w:w="120"/>
              <w:bottom w:type="dxa" w:w="80"/>
              <w:right w:type="dxa" w:w="120"/>
            </w:tcMar>
            <w:vAlign w:val="center"/>
          </w:tcPr>
          <w:p>
            <w:r>
              <w:rPr>
                <w:b w:val="false"/>
                <w:bCs w:val="false"/>
                <w:color w:val="000000"/>
                <w:sz w:val="20"/>
                <w:szCs w:val="20"/>
              </w:rPr>
              <w:t xml:space="preserve">System shall support SSO via SAP IAS</w:t>
            </w:r>
          </w:p>
        </w:tc>
        <w:tc>
          <w:tcPr>
            <w:tcW w:type="dxa" w:w="2600"/>
            <w:tcMar>
              <w:top w:type="dxa" w:w="80"/>
              <w:left w:type="dxa" w:w="120"/>
              <w:bottom w:type="dxa" w:w="80"/>
              <w:right w:type="dxa" w:w="120"/>
            </w:tcMar>
            <w:vAlign w:val="center"/>
          </w:tcPr>
          <w:p>
            <w:r>
              <w:rPr>
                <w:b w:val="false"/>
                <w:bCs w:val="false"/>
                <w:color w:val="000000"/>
                <w:sz w:val="20"/>
                <w:szCs w:val="20"/>
              </w:rPr>
              <w:t xml:space="preserve">Achieve Clean Core Compliance</w:t>
            </w:r>
          </w:p>
        </w:tc>
      </w:tr>
      <w:tr>
        <w:tc>
          <w:tcPr>
            <w:tcW w:type="dxa" w:w="1100"/>
            <w:shd w:fill="F2F2F2" w:val="clear"/>
            <w:tcMar>
              <w:top w:type="dxa" w:w="80"/>
              <w:left w:type="dxa" w:w="120"/>
              <w:bottom w:type="dxa" w:w="80"/>
              <w:right w:type="dxa" w:w="120"/>
            </w:tcMar>
            <w:vAlign w:val="center"/>
          </w:tcPr>
          <w:p>
            <w:r>
              <w:rPr>
                <w:b w:val="false"/>
                <w:bCs w:val="false"/>
                <w:color w:val="000000"/>
                <w:sz w:val="20"/>
                <w:szCs w:val="20"/>
              </w:rPr>
              <w:t xml:space="preserve">REQ-004</w:t>
            </w:r>
          </w:p>
        </w:tc>
        <w:tc>
          <w:tcPr>
            <w:tcW w:type="dxa" w:w="5300"/>
            <w:shd w:fill="F2F2F2" w:val="clear"/>
            <w:tcMar>
              <w:top w:type="dxa" w:w="80"/>
              <w:left w:type="dxa" w:w="120"/>
              <w:bottom w:type="dxa" w:w="80"/>
              <w:right w:type="dxa" w:w="120"/>
            </w:tcMar>
            <w:vAlign w:val="center"/>
          </w:tcPr>
          <w:p>
            <w:r>
              <w:rPr>
                <w:b w:val="false"/>
                <w:bCs w:val="false"/>
                <w:color w:val="000000"/>
                <w:sz w:val="20"/>
                <w:szCs w:val="20"/>
              </w:rPr>
              <w:t xml:space="preserve">System shall retain data residency in EU region</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Reduce Custom Code Footprint by 50%</w:t>
            </w:r>
          </w:p>
        </w:tc>
      </w:tr>
      <w:tr>
        <w:tc>
          <w:tcPr>
            <w:tcW w:type="dxa" w:w="1100"/>
            <w:tcMar>
              <w:top w:type="dxa" w:w="80"/>
              <w:left w:type="dxa" w:w="120"/>
              <w:bottom w:type="dxa" w:w="80"/>
              <w:right w:type="dxa" w:w="120"/>
            </w:tcMar>
            <w:vAlign w:val="center"/>
          </w:tcPr>
          <w:p>
            <w:r>
              <w:rPr>
                <w:b w:val="false"/>
                <w:bCs w:val="false"/>
                <w:color w:val="000000"/>
                <w:sz w:val="20"/>
                <w:szCs w:val="20"/>
              </w:rPr>
              <w:t xml:space="preserve">REQ-005</w:t>
            </w:r>
          </w:p>
        </w:tc>
        <w:tc>
          <w:tcPr>
            <w:tcW w:type="dxa" w:w="5300"/>
            <w:tcMar>
              <w:top w:type="dxa" w:w="80"/>
              <w:left w:type="dxa" w:w="120"/>
              <w:bottom w:type="dxa" w:w="80"/>
              <w:right w:type="dxa" w:w="120"/>
            </w:tcMar>
            <w:vAlign w:val="center"/>
          </w:tcPr>
          <w:p>
            <w:r>
              <w:rPr>
                <w:b w:val="false"/>
                <w:bCs w:val="false"/>
                <w:color w:val="000000"/>
                <w:sz w:val="20"/>
                <w:szCs w:val="20"/>
              </w:rPr>
              <w:t xml:space="preserve">System shall support real-time financial reporting</w:t>
            </w:r>
          </w:p>
        </w:tc>
        <w:tc>
          <w:tcPr>
            <w:tcW w:type="dxa" w:w="2600"/>
            <w:tcMar>
              <w:top w:type="dxa" w:w="80"/>
              <w:left w:type="dxa" w:w="120"/>
              <w:bottom w:type="dxa" w:w="80"/>
              <w:right w:type="dxa" w:w="120"/>
            </w:tcMar>
            <w:vAlign w:val="center"/>
          </w:tcPr>
          <w:p>
            <w:r>
              <w:rPr>
                <w:b w:val="false"/>
                <w:bCs w:val="false"/>
                <w:color w:val="000000"/>
                <w:sz w:val="20"/>
                <w:szCs w:val="20"/>
              </w:rPr>
              <w:t xml:space="preserve">Standardize Global Business Processes</w:t>
            </w:r>
          </w:p>
        </w:tc>
      </w:tr>
      <w:tr>
        <w:tc>
          <w:tcPr>
            <w:tcW w:type="dxa" w:w="1100"/>
            <w:shd w:fill="F2F2F2" w:val="clear"/>
            <w:tcMar>
              <w:top w:type="dxa" w:w="80"/>
              <w:left w:type="dxa" w:w="120"/>
              <w:bottom w:type="dxa" w:w="80"/>
              <w:right w:type="dxa" w:w="120"/>
            </w:tcMar>
            <w:vAlign w:val="center"/>
          </w:tcPr>
          <w:p>
            <w:r>
              <w:rPr>
                <w:b w:val="false"/>
                <w:bCs w:val="false"/>
                <w:color w:val="000000"/>
                <w:sz w:val="20"/>
                <w:szCs w:val="20"/>
              </w:rPr>
              <w:t xml:space="preserve">REQ-006</w:t>
            </w:r>
          </w:p>
        </w:tc>
        <w:tc>
          <w:tcPr>
            <w:tcW w:type="dxa" w:w="5300"/>
            <w:shd w:fill="F2F2F2" w:val="clear"/>
            <w:tcMar>
              <w:top w:type="dxa" w:w="80"/>
              <w:left w:type="dxa" w:w="120"/>
              <w:bottom w:type="dxa" w:w="80"/>
              <w:right w:type="dxa" w:w="120"/>
            </w:tcMar>
            <w:vAlign w:val="center"/>
          </w:tcPr>
          <w:p>
            <w:r>
              <w:rPr>
                <w:b w:val="false"/>
                <w:bCs w:val="false"/>
                <w:color w:val="000000"/>
                <w:sz w:val="20"/>
                <w:szCs w:val="20"/>
              </w:rPr>
              <w:t xml:space="preserve">System shall support role-based access control</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Improve System Availability to 99.9%</w:t>
            </w:r>
          </w:p>
        </w:tc>
      </w:tr>
      <w:tr>
        <w:tc>
          <w:tcPr>
            <w:tcW w:type="dxa" w:w="1100"/>
            <w:tcMar>
              <w:top w:type="dxa" w:w="80"/>
              <w:left w:type="dxa" w:w="120"/>
              <w:bottom w:type="dxa" w:w="80"/>
              <w:right w:type="dxa" w:w="120"/>
            </w:tcMar>
            <w:vAlign w:val="center"/>
          </w:tcPr>
          <w:p>
            <w:r>
              <w:rPr>
                <w:b w:val="false"/>
                <w:bCs w:val="false"/>
                <w:color w:val="000000"/>
                <w:sz w:val="20"/>
                <w:szCs w:val="20"/>
              </w:rPr>
              <w:t xml:space="preserve">REQ-007</w:t>
            </w:r>
          </w:p>
        </w:tc>
        <w:tc>
          <w:tcPr>
            <w:tcW w:type="dxa" w:w="5300"/>
            <w:tcMar>
              <w:top w:type="dxa" w:w="80"/>
              <w:left w:type="dxa" w:w="120"/>
              <w:bottom w:type="dxa" w:w="80"/>
              <w:right w:type="dxa" w:w="120"/>
            </w:tcMar>
            <w:vAlign w:val="center"/>
          </w:tcPr>
          <w:p>
            <w:r>
              <w:rPr>
                <w:b w:val="false"/>
                <w:bCs w:val="false"/>
                <w:color w:val="000000"/>
                <w:sz w:val="20"/>
                <w:szCs w:val="20"/>
              </w:rPr>
              <w:t xml:space="preserve">System shall provide audit trail for all financial transactions</w:t>
            </w:r>
          </w:p>
        </w:tc>
        <w:tc>
          <w:tcPr>
            <w:tcW w:type="dxa" w:w="2600"/>
            <w:tcMar>
              <w:top w:type="dxa" w:w="80"/>
              <w:left w:type="dxa" w:w="120"/>
              <w:bottom w:type="dxa" w:w="80"/>
              <w:right w:type="dxa" w:w="120"/>
            </w:tcMar>
            <w:vAlign w:val="center"/>
          </w:tcPr>
          <w:p>
            <w:r>
              <w:rPr>
                <w:b w:val="false"/>
                <w:bCs w:val="false"/>
                <w:color w:val="000000"/>
                <w:sz w:val="20"/>
                <w:szCs w:val="20"/>
              </w:rPr>
              <w:t xml:space="preserve">Reduce Integration Lead Time</w:t>
            </w:r>
          </w:p>
        </w:tc>
      </w:tr>
      <w:tr>
        <w:tc>
          <w:tcPr>
            <w:tcW w:type="dxa" w:w="1100"/>
            <w:shd w:fill="F2F2F2" w:val="clear"/>
            <w:tcMar>
              <w:top w:type="dxa" w:w="80"/>
              <w:left w:type="dxa" w:w="120"/>
              <w:bottom w:type="dxa" w:w="80"/>
              <w:right w:type="dxa" w:w="120"/>
            </w:tcMar>
            <w:vAlign w:val="center"/>
          </w:tcPr>
          <w:p>
            <w:r>
              <w:rPr>
                <w:b w:val="false"/>
                <w:bCs w:val="false"/>
                <w:color w:val="000000"/>
                <w:sz w:val="20"/>
                <w:szCs w:val="20"/>
              </w:rPr>
              <w:t xml:space="preserve">REQ-008</w:t>
            </w:r>
          </w:p>
        </w:tc>
        <w:tc>
          <w:tcPr>
            <w:tcW w:type="dxa" w:w="5300"/>
            <w:shd w:fill="F2F2F2" w:val="clear"/>
            <w:tcMar>
              <w:top w:type="dxa" w:w="80"/>
              <w:left w:type="dxa" w:w="120"/>
              <w:bottom w:type="dxa" w:w="80"/>
              <w:right w:type="dxa" w:w="120"/>
            </w:tcMar>
            <w:vAlign w:val="center"/>
          </w:tcPr>
          <w:p>
            <w:r>
              <w:rPr>
                <w:b w:val="false"/>
                <w:bCs w:val="false"/>
                <w:color w:val="000000"/>
                <w:sz w:val="20"/>
                <w:szCs w:val="20"/>
              </w:rPr>
              <w:t xml:space="preserve">System shall support multi-currency processing</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Enable Self-Service Analytics</w:t>
            </w:r>
          </w:p>
        </w:tc>
      </w:tr>
      <w:tr>
        <w:tc>
          <w:tcPr>
            <w:tcW w:type="dxa" w:w="1100"/>
            <w:tcMar>
              <w:top w:type="dxa" w:w="80"/>
              <w:left w:type="dxa" w:w="120"/>
              <w:bottom w:type="dxa" w:w="80"/>
              <w:right w:type="dxa" w:w="120"/>
            </w:tcMar>
            <w:vAlign w:val="center"/>
          </w:tcPr>
          <w:p>
            <w:r>
              <w:rPr>
                <w:b w:val="false"/>
                <w:bCs w:val="false"/>
                <w:color w:val="000000"/>
                <w:sz w:val="20"/>
                <w:szCs w:val="20"/>
              </w:rPr>
              <w:t xml:space="preserve">REQ-009</w:t>
            </w:r>
          </w:p>
        </w:tc>
        <w:tc>
          <w:tcPr>
            <w:tcW w:type="dxa" w:w="5300"/>
            <w:tcMar>
              <w:top w:type="dxa" w:w="80"/>
              <w:left w:type="dxa" w:w="120"/>
              <w:bottom w:type="dxa" w:w="80"/>
              <w:right w:type="dxa" w:w="120"/>
            </w:tcMar>
            <w:vAlign w:val="center"/>
          </w:tcPr>
          <w:p>
            <w:r>
              <w:rPr>
                <w:b w:val="false"/>
                <w:bCs w:val="false"/>
                <w:color w:val="000000"/>
                <w:sz w:val="20"/>
                <w:szCs w:val="20"/>
              </w:rPr>
              <w:t xml:space="preserve">System shall support GDPR-compliant data handling</w:t>
            </w:r>
          </w:p>
        </w:tc>
        <w:tc>
          <w:tcPr>
            <w:tcW w:type="dxa" w:w="2600"/>
            <w:tcMar>
              <w:top w:type="dxa" w:w="80"/>
              <w:left w:type="dxa" w:w="120"/>
              <w:bottom w:type="dxa" w:w="80"/>
              <w:right w:type="dxa" w:w="120"/>
            </w:tcMar>
            <w:vAlign w:val="center"/>
          </w:tcPr>
          <w:p>
            <w:r>
              <w:rPr>
                <w:b w:val="false"/>
                <w:bCs w:val="false"/>
                <w:color w:val="000000"/>
                <w:sz w:val="20"/>
                <w:szCs w:val="20"/>
              </w:rPr>
              <w:t xml:space="preserve">Achieve Single Source of Master Data</w:t>
            </w:r>
          </w:p>
        </w:tc>
      </w:tr>
      <w:tr>
        <w:tc>
          <w:tcPr>
            <w:tcW w:type="dxa" w:w="1100"/>
            <w:shd w:fill="F2F2F2" w:val="clear"/>
            <w:tcMar>
              <w:top w:type="dxa" w:w="80"/>
              <w:left w:type="dxa" w:w="120"/>
              <w:bottom w:type="dxa" w:w="80"/>
              <w:right w:type="dxa" w:w="120"/>
            </w:tcMar>
            <w:vAlign w:val="center"/>
          </w:tcPr>
          <w:p>
            <w:r>
              <w:rPr>
                <w:b w:val="false"/>
                <w:bCs w:val="false"/>
                <w:color w:val="000000"/>
                <w:sz w:val="20"/>
                <w:szCs w:val="20"/>
              </w:rPr>
              <w:t xml:space="preserve">REQ-010</w:t>
            </w:r>
          </w:p>
        </w:tc>
        <w:tc>
          <w:tcPr>
            <w:tcW w:type="dxa" w:w="5300"/>
            <w:shd w:fill="F2F2F2" w:val="clear"/>
            <w:tcMar>
              <w:top w:type="dxa" w:w="80"/>
              <w:left w:type="dxa" w:w="120"/>
              <w:bottom w:type="dxa" w:w="80"/>
              <w:right w:type="dxa" w:w="120"/>
            </w:tcMar>
            <w:vAlign w:val="center"/>
          </w:tcPr>
          <w:p>
            <w:r>
              <w:rPr>
                <w:b w:val="false"/>
                <w:bCs w:val="false"/>
                <w:color w:val="000000"/>
                <w:sz w:val="20"/>
                <w:szCs w:val="20"/>
              </w:rPr>
              <w:t xml:space="preserve">System shall provide 99.9% uptime SLA</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Reduce Carbon Footprint of IT Estate</w:t>
            </w:r>
          </w:p>
        </w:tc>
      </w:tr>
      <w:tr>
        <w:tc>
          <w:tcPr>
            <w:tcW w:type="dxa" w:w="1100"/>
            <w:tcMar>
              <w:top w:type="dxa" w:w="80"/>
              <w:left w:type="dxa" w:w="120"/>
              <w:bottom w:type="dxa" w:w="80"/>
              <w:right w:type="dxa" w:w="120"/>
            </w:tcMar>
            <w:vAlign w:val="center"/>
          </w:tcPr>
          <w:p>
            <w:r>
              <w:rPr>
                <w:b w:val="false"/>
                <w:bCs w:val="false"/>
                <w:color w:val="000000"/>
                <w:sz w:val="20"/>
                <w:szCs w:val="20"/>
              </w:rPr>
              <w:t xml:space="preserve">REQ-011</w:t>
            </w:r>
          </w:p>
        </w:tc>
        <w:tc>
          <w:tcPr>
            <w:tcW w:type="dxa" w:w="5300"/>
            <w:tcMar>
              <w:top w:type="dxa" w:w="80"/>
              <w:left w:type="dxa" w:w="120"/>
              <w:bottom w:type="dxa" w:w="80"/>
              <w:right w:type="dxa" w:w="120"/>
            </w:tcMar>
            <w:vAlign w:val="center"/>
          </w:tcPr>
          <w:p>
            <w:r>
              <w:rPr>
                <w:b w:val="false"/>
                <w:bCs w:val="false"/>
                <w:color w:val="000000"/>
                <w:sz w:val="20"/>
                <w:szCs w:val="20"/>
              </w:rPr>
              <w:t xml:space="preserve">System shall support automated regression testing</w:t>
            </w:r>
          </w:p>
        </w:tc>
        <w:tc>
          <w:tcPr>
            <w:tcW w:type="dxa" w:w="2600"/>
            <w:tcMar>
              <w:top w:type="dxa" w:w="80"/>
              <w:left w:type="dxa" w:w="120"/>
              <w:bottom w:type="dxa" w:w="80"/>
              <w:right w:type="dxa" w:w="120"/>
            </w:tcMar>
            <w:vAlign w:val="center"/>
          </w:tcPr>
          <w:p>
            <w:r>
              <w:rPr>
                <w:b w:val="false"/>
                <w:bCs w:val="false"/>
                <w:color w:val="000000"/>
                <w:sz w:val="20"/>
                <w:szCs w:val="20"/>
              </w:rPr>
              <w:t xml:space="preserve">Migrate to SAP S/4HANA Cloud by Target Date</w:t>
            </w:r>
          </w:p>
        </w:tc>
      </w:tr>
      <w:tr>
        <w:tc>
          <w:tcPr>
            <w:tcW w:type="dxa" w:w="1100"/>
            <w:shd w:fill="F2F2F2" w:val="clear"/>
            <w:tcMar>
              <w:top w:type="dxa" w:w="80"/>
              <w:left w:type="dxa" w:w="120"/>
              <w:bottom w:type="dxa" w:w="80"/>
              <w:right w:type="dxa" w:w="120"/>
            </w:tcMar>
            <w:vAlign w:val="center"/>
          </w:tcPr>
          <w:p>
            <w:r>
              <w:rPr>
                <w:b w:val="false"/>
                <w:bCs w:val="false"/>
                <w:color w:val="000000"/>
                <w:sz w:val="20"/>
                <w:szCs w:val="20"/>
              </w:rPr>
              <w:t xml:space="preserve">REQ-012</w:t>
            </w:r>
          </w:p>
        </w:tc>
        <w:tc>
          <w:tcPr>
            <w:tcW w:type="dxa" w:w="5300"/>
            <w:shd w:fill="F2F2F2" w:val="clear"/>
            <w:tcMar>
              <w:top w:type="dxa" w:w="80"/>
              <w:left w:type="dxa" w:w="120"/>
              <w:bottom w:type="dxa" w:w="80"/>
              <w:right w:type="dxa" w:w="120"/>
            </w:tcMar>
            <w:vAlign w:val="center"/>
          </w:tcPr>
          <w:p>
            <w:r>
              <w:rPr>
                <w:b w:val="false"/>
                <w:bCs w:val="false"/>
                <w:color w:val="000000"/>
                <w:sz w:val="20"/>
                <w:szCs w:val="20"/>
              </w:rPr>
              <w:t xml:space="preserve">System shall support API-first extension model</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Decommission Legacy ERP Landscape</w:t>
            </w:r>
          </w:p>
        </w:tc>
      </w:tr>
    </w:tbl>
    <w:p>
      <w:pPr>
        <w:spacing w:after="200"/>
      </w:pPr>
    </w:p>
    <w:p>
      <w:pPr>
        <w:pStyle w:val="Heading1"/>
        <w:spacing w:after="160" w:before="360"/>
      </w:pPr>
      <w:r>
        <w:rPr>
          <w:color w:val="1F3864"/>
        </w:rPr>
        <w:t xml:space="preserve">3. Architecture Principles</w:t>
      </w:r>
    </w:p>
    <w:p>
      <w:pPr>
        <w:spacing w:after="160"/>
      </w:pPr>
      <w:r>
        <w:rPr>
          <w:b w:val="false"/>
          <w:bCs w:val="false"/>
          <w:i w:val="false"/>
          <w:iCs w:val="false"/>
        </w:rPr>
        <w:t xml:space="preserve">The following principles govern how requirements are interpreted and how design trade-offs are resolved: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val="clear"/>
            <w:tcMar>
              <w:top w:type="dxa" w:w="80"/>
              <w:left w:type="dxa" w:w="120"/>
              <w:bottom w:type="dxa" w:w="80"/>
              <w:right w:type="dxa" w:w="120"/>
            </w:tcMar>
            <w:vAlign w:val="center"/>
          </w:tcPr>
          <w:p>
            <w:r>
              <w:rPr>
                <w:b/>
                <w:bCs/>
                <w:color w:val="FFFFFF"/>
                <w:sz w:val="20"/>
                <w:szCs w:val="20"/>
              </w:rPr>
              <w:t xml:space="preserve">Ref</w:t>
            </w:r>
          </w:p>
        </w:tc>
        <w:tc>
          <w:tcPr>
            <w:tcW w:type="dxa" w:w="7800"/>
            <w:shd w:fill="1F3864" w:val="clear"/>
            <w:tcMar>
              <w:top w:type="dxa" w:w="80"/>
              <w:left w:type="dxa" w:w="120"/>
              <w:bottom w:type="dxa" w:w="80"/>
              <w:right w:type="dxa" w:w="120"/>
            </w:tcMar>
            <w:vAlign w:val="center"/>
          </w:tcPr>
          <w:p>
            <w:r>
              <w:rPr>
                <w:b/>
                <w:bCs/>
                <w:color w:val="FFFFFF"/>
                <w:sz w:val="20"/>
                <w:szCs w:val="20"/>
              </w:rPr>
              <w:t xml:space="preserve">Principle</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PRIN-1</w:t>
            </w:r>
          </w:p>
        </w:tc>
        <w:tc>
          <w:tcPr>
            <w:tcW w:type="dxa" w:w="7800"/>
            <w:tcMar>
              <w:top w:type="dxa" w:w="80"/>
              <w:left w:type="dxa" w:w="120"/>
              <w:bottom w:type="dxa" w:w="80"/>
              <w:right w:type="dxa" w:w="120"/>
            </w:tcMar>
            <w:vAlign w:val="center"/>
          </w:tcPr>
          <w:p>
            <w:r>
              <w:rPr>
                <w:b w:val="false"/>
                <w:bCs w:val="false"/>
                <w:color w:val="000000"/>
                <w:sz w:val="20"/>
                <w:szCs w:val="20"/>
              </w:rPr>
              <w:t xml:space="preserve">Keep the Core Clean</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PRIN-2</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Prefer Configuration over Customization</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PRIN-3</w:t>
            </w:r>
          </w:p>
        </w:tc>
        <w:tc>
          <w:tcPr>
            <w:tcW w:type="dxa" w:w="7800"/>
            <w:tcMar>
              <w:top w:type="dxa" w:w="80"/>
              <w:left w:type="dxa" w:w="120"/>
              <w:bottom w:type="dxa" w:w="80"/>
              <w:right w:type="dxa" w:w="120"/>
            </w:tcMar>
            <w:vAlign w:val="center"/>
          </w:tcPr>
          <w:p>
            <w:r>
              <w:rPr>
                <w:b w:val="false"/>
                <w:bCs w:val="false"/>
                <w:color w:val="000000"/>
                <w:sz w:val="20"/>
                <w:szCs w:val="20"/>
              </w:rPr>
              <w:t xml:space="preserve">Design for API-First Integration</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PRIN-4</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Adopt Cloud-Native Services by Default</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PRIN-5</w:t>
            </w:r>
          </w:p>
        </w:tc>
        <w:tc>
          <w:tcPr>
            <w:tcW w:type="dxa" w:w="7800"/>
            <w:tcMar>
              <w:top w:type="dxa" w:w="80"/>
              <w:left w:type="dxa" w:w="120"/>
              <w:bottom w:type="dxa" w:w="80"/>
              <w:right w:type="dxa" w:w="120"/>
            </w:tcMar>
            <w:vAlign w:val="center"/>
          </w:tcPr>
          <w:p>
            <w:r>
              <w:rPr>
                <w:b w:val="false"/>
                <w:bCs w:val="false"/>
                <w:color w:val="000000"/>
                <w:sz w:val="20"/>
                <w:szCs w:val="20"/>
              </w:rPr>
              <w:t xml:space="preserve">Data Privacy by Design</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PRIN-6</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Reuse before Buy before Build</w:t>
            </w:r>
          </w:p>
        </w:tc>
      </w:tr>
    </w:tbl>
    <w:p>
      <w:pPr>
        <w:spacing w:after="200"/>
      </w:pPr>
    </w:p>
    <w:p>
      <w:pPr>
        <w:pStyle w:val="Heading1"/>
        <w:spacing w:after="160" w:before="360"/>
      </w:pPr>
      <w:r>
        <w:rPr>
          <w:color w:val="1F3864"/>
        </w:rPr>
        <w:t xml:space="preserve">4.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val="clear"/>
            <w:tcMar>
              <w:top w:type="dxa" w:w="80"/>
              <w:left w:type="dxa" w:w="120"/>
              <w:bottom w:type="dxa" w:w="80"/>
              <w:right w:type="dxa" w:w="120"/>
            </w:tcMar>
            <w:vAlign w:val="center"/>
          </w:tcPr>
          <w:p>
            <w:r>
              <w:rPr>
                <w:b/>
                <w:bCs/>
                <w:color w:val="FFFFFF"/>
                <w:sz w:val="20"/>
                <w:szCs w:val="20"/>
              </w:rPr>
              <w:t xml:space="preserve">Ref</w:t>
            </w:r>
          </w:p>
        </w:tc>
        <w:tc>
          <w:tcPr>
            <w:tcW w:type="dxa" w:w="7800"/>
            <w:shd w:fill="1F3864" w:val="clear"/>
            <w:tcMar>
              <w:top w:type="dxa" w:w="80"/>
              <w:left w:type="dxa" w:w="120"/>
              <w:bottom w:type="dxa" w:w="80"/>
              <w:right w:type="dxa" w:w="120"/>
            </w:tcMar>
            <w:vAlign w:val="center"/>
          </w:tcPr>
          <w:p>
            <w:r>
              <w:rPr>
                <w:b/>
                <w:bCs/>
                <w:color w:val="FFFFFF"/>
                <w:sz w:val="20"/>
                <w:szCs w:val="20"/>
              </w:rPr>
              <w:t xml:space="preserve">Constraint</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CON-1</w:t>
            </w:r>
          </w:p>
        </w:tc>
        <w:tc>
          <w:tcPr>
            <w:tcW w:type="dxa" w:w="7800"/>
            <w:tcMar>
              <w:top w:type="dxa" w:w="80"/>
              <w:left w:type="dxa" w:w="120"/>
              <w:bottom w:type="dxa" w:w="80"/>
              <w:right w:type="dxa" w:w="120"/>
            </w:tcMar>
            <w:vAlign w:val="center"/>
          </w:tcPr>
          <w:p>
            <w:r>
              <w:rPr>
                <w:b w:val="false"/>
                <w:bCs w:val="false"/>
                <w:color w:val="000000"/>
                <w:sz w:val="20"/>
                <w:szCs w:val="20"/>
              </w:rPr>
              <w:t xml:space="preserve">Fixed Go-Live Date</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CON-2</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Limited Availability of Skilled BTP Resources</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CON-3</w:t>
            </w:r>
          </w:p>
        </w:tc>
        <w:tc>
          <w:tcPr>
            <w:tcW w:type="dxa" w:w="7800"/>
            <w:tcMar>
              <w:top w:type="dxa" w:w="80"/>
              <w:left w:type="dxa" w:w="120"/>
              <w:bottom w:type="dxa" w:w="80"/>
              <w:right w:type="dxa" w:w="120"/>
            </w:tcMar>
            <w:vAlign w:val="center"/>
          </w:tcPr>
          <w:p>
            <w:r>
              <w:rPr>
                <w:b w:val="false"/>
                <w:bCs w:val="false"/>
                <w:color w:val="000000"/>
                <w:sz w:val="20"/>
                <w:szCs w:val="20"/>
              </w:rPr>
              <w:t xml:space="preserve">Fixed Program Budget</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CON-4</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Mandatory Works Council Approval</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CON-5</w:t>
            </w:r>
          </w:p>
        </w:tc>
        <w:tc>
          <w:tcPr>
            <w:tcW w:type="dxa" w:w="7800"/>
            <w:tcMar>
              <w:top w:type="dxa" w:w="80"/>
              <w:left w:type="dxa" w:w="120"/>
              <w:bottom w:type="dxa" w:w="80"/>
              <w:right w:type="dxa" w:w="120"/>
            </w:tcMar>
            <w:vAlign w:val="center"/>
          </w:tcPr>
          <w:p>
            <w:r>
              <w:rPr>
                <w:b w:val="false"/>
                <w:bCs w:val="false"/>
                <w:color w:val="000000"/>
                <w:sz w:val="20"/>
                <w:szCs w:val="20"/>
              </w:rPr>
              <w:t xml:space="preserve">Regulatory Data Residency Constraint</w:t>
            </w:r>
          </w:p>
        </w:tc>
      </w:tr>
    </w:tbl>
    <w:p>
      <w:pPr>
        <w:spacing w:after="200"/>
      </w:pPr>
    </w:p>
    <w:p>
      <w:pPr>
        <w:pStyle w:val="Heading1"/>
        <w:spacing w:after="160" w:before="360"/>
      </w:pPr>
      <w:r>
        <w:rPr>
          <w:color w:val="1F3864"/>
        </w:rPr>
        <w:t xml:space="preserve">5. Assessments Informing Requirements</w:t>
      </w:r>
    </w:p>
    <w:p>
      <w:pPr>
        <w:pStyle w:val="ListParagraph"/>
        <w:numPr>
          <w:ilvl w:val="0"/>
          <w:numId w:val="2"/>
        </w:numPr>
        <w:spacing w:after="80"/>
      </w:pPr>
      <w:r>
        <w:t xml:space="preserve">Legacy ERP End-of-Maintenance Assessment</w:t>
      </w:r>
    </w:p>
    <w:p>
      <w:pPr>
        <w:pStyle w:val="ListParagraph"/>
        <w:numPr>
          <w:ilvl w:val="0"/>
          <w:numId w:val="2"/>
        </w:numPr>
        <w:spacing w:after="80"/>
      </w:pPr>
      <w:r>
        <w:t xml:space="preserve">Custom Code Usage Assessment</w:t>
      </w:r>
    </w:p>
    <w:p>
      <w:pPr>
        <w:pStyle w:val="ListParagraph"/>
        <w:numPr>
          <w:ilvl w:val="0"/>
          <w:numId w:val="2"/>
        </w:numPr>
        <w:spacing w:after="80"/>
      </w:pPr>
      <w:r>
        <w:t xml:space="preserve">Cloud Readiness Assessment</w:t>
      </w:r>
    </w:p>
    <w:p>
      <w:pPr>
        <w:pStyle w:val="ListParagraph"/>
        <w:numPr>
          <w:ilvl w:val="0"/>
          <w:numId w:val="2"/>
        </w:numPr>
        <w:spacing w:after="80"/>
      </w:pPr>
      <w:r>
        <w:t xml:space="preserve">Integration Complexity Assessment</w:t>
      </w:r>
    </w:p>
    <w:p>
      <w:pPr>
        <w:pStyle w:val="ListParagraph"/>
        <w:numPr>
          <w:ilvl w:val="0"/>
          <w:numId w:val="2"/>
        </w:numPr>
        <w:spacing w:after="80"/>
      </w:pPr>
      <w:r>
        <w:t xml:space="preserve">Data Quality Assessment</w:t>
      </w:r>
    </w:p>
    <w:p>
      <w:pPr>
        <w:pStyle w:val="Heading1"/>
        <w:spacing w:after="160" w:before="360"/>
      </w:pPr>
      <w:r>
        <w:rPr>
          <w:color w:val="1F3864"/>
        </w:rPr>
        <w:t xml:space="preserve">6. Non-Functional Requirements Summary</w:t>
      </w:r>
    </w:p>
    <w:p>
      <w:pPr>
        <w:pStyle w:val="ListParagraph"/>
        <w:numPr>
          <w:ilvl w:val="0"/>
          <w:numId w:val="2"/>
        </w:numPr>
        <w:spacing w:after="80"/>
      </w:pPr>
      <w:r>
        <w:t xml:space="preserve">Availability: 99.9% uptime SLA across production application services.</w:t>
      </w:r>
    </w:p>
    <w:p>
      <w:pPr>
        <w:pStyle w:val="ListParagraph"/>
        <w:numPr>
          <w:ilvl w:val="0"/>
          <w:numId w:val="2"/>
        </w:numPr>
        <w:spacing w:after="80"/>
      </w:pPr>
      <w:r>
        <w:t xml:space="preserve">Security: role-based access control and full audit trail for financial transactions.</w:t>
      </w:r>
    </w:p>
    <w:p>
      <w:pPr>
        <w:pStyle w:val="ListParagraph"/>
        <w:numPr>
          <w:ilvl w:val="0"/>
          <w:numId w:val="2"/>
        </w:numPr>
        <w:spacing w:after="80"/>
      </w:pPr>
      <w:r>
        <w:t xml:space="preserve">Compliance: GDPR-compliant data handling and EU data residency.</w:t>
      </w:r>
    </w:p>
    <w:p>
      <w:pPr>
        <w:pStyle w:val="ListParagraph"/>
        <w:numPr>
          <w:ilvl w:val="0"/>
          <w:numId w:val="2"/>
        </w:numPr>
        <w:spacing w:after="80"/>
      </w:pPr>
      <w:r>
        <w:t xml:space="preserve">Performance: real-time financial reporting and multi-currency processing.</w:t>
      </w:r>
    </w:p>
    <w:p>
      <w:pPr>
        <w:pStyle w:val="ListParagraph"/>
        <w:numPr>
          <w:ilvl w:val="0"/>
          <w:numId w:val="2"/>
        </w:numPr>
        <w:spacing w:after="80"/>
      </w:pPr>
      <w:r>
        <w:t xml:space="preserve">Extensibility: API-first, clean-core-compliant extension model on SAP BTP.</w:t>
      </w:r>
    </w:p>
    <w:p>
      <w:pPr>
        <w:pStyle w:val="Heading1"/>
        <w:spacing w:after="160" w:before="360"/>
      </w:pPr>
      <w:r>
        <w:rPr>
          <w:color w:val="1F3864"/>
        </w:rPr>
        <w:t xml:space="preserve">7. Requirements Prioritization</w:t>
      </w:r>
    </w:p>
    <w:p>
      <w:pPr>
        <w:spacing w:after="160"/>
      </w:pPr>
      <w:r>
        <w:rPr>
          <w:b w:val="false"/>
          <w:bCs w:val="false"/>
          <w:i w:val="false"/>
          <w:iCs w:val="false"/>
        </w:rPr>
        <w:t xml:space="preserve">Requirements are prioritized against the transition plateaus: requirements tied to regulatory compliance and data residency are prioritized into the earliest transition plateau (Pilot Rollout); requirements tied to self-service analytics and continuous innovation are deferred to the Future State Architecture plateau.</w:t>
      </w:r>
    </w:p>
    <w:p>
      <w:pPr>
        <w:pStyle w:val="Heading1"/>
        <w:spacing w:after="160" w:before="360"/>
      </w:pPr>
      <w:r>
        <w:rPr>
          <w:color w:val="1F3864"/>
        </w:rPr>
        <w:t xml:space="preserve">8. Change Control</w:t>
      </w:r>
    </w:p>
    <w:p>
      <w:pPr>
        <w:spacing w:after="160"/>
      </w:pPr>
      <w:r>
        <w:rPr>
          <w:b w:val="false"/>
          <w:bCs w:val="false"/>
          <w:i w:val="false"/>
          <w:iCs w:val="false"/>
        </w:rPr>
        <w:t xml:space="preserve">Changes to requirements are managed through the Architecture Change Management process (Phase H) and recorded as Change Requests, each of which is assessed for Requirements Impact before being scheduled into a future Work Package.</w:t>
      </w:r>
    </w:p>
    <w:p>
      <w:pPr>
        <w:pStyle w:val="Heading1"/>
        <w:spacing w:after="160" w:before="360"/>
      </w:pPr>
      <w:r>
        <w:rPr>
          <w:color w:val="1F3864"/>
        </w:rPr>
        <w:t xml:space="preserve">9. Traceability</w:t>
      </w:r>
    </w:p>
    <w:p>
      <w:pPr>
        <w:spacing w:after="160"/>
      </w:pPr>
      <w:r>
        <w:rPr>
          <w:b w:val="false"/>
          <w:bCs w:val="false"/>
          <w:i w:val="false"/>
          <w:iCs w:val="false"/>
        </w:rPr>
        <w:t xml:space="preserve">All requirements, principles, constraints, and assessments listed above are modelled as first-class elements in the Motivation organization folder of the SAP Enterprise Repository and rendered in the “Motivation &amp; Requirements” 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Enterprise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Architecture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2026-08-13T09:31:16.017Z</dcterms:created>
  <dcterms:modified xsi:type="dcterms:W3CDTF">2026-08-13T09:31:16.017Z</dcterms:modified>
</cp:coreProperties>
</file>

<file path=docProps/custom.xml><?xml version="1.0" encoding="utf-8"?>
<Properties xmlns="http://schemas.openxmlformats.org/officeDocument/2006/custom-properties" xmlns:vt="http://schemas.openxmlformats.org/officeDocument/2006/docPropsVTypes"/>
</file>