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Implementation and Migration Plan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ADM Phase E/F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– Opportunities &amp; Solutions / Phase F – Migration Planning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Implementation and Migration Plan sequences the transformation from the Baseline Architecture (Legacy ERP) to the Target Architecture (SAP RISE with SAP S/4HANA Cloud) through a series of transition plateaus, delivered by a defined set of Work Packages. It elaborates the Implementation &amp; Migration layer of the SAP Enterprise Repository.</w:t>
      </w:r>
    </w:p>
    <w:p>
      <w:pPr>
        <w:pStyle w:val="Heading1"/>
        <w:spacing w:after="160" w:before="360"/>
      </w:pPr>
      <w:r>
        <w:rPr>
          <w:color w:val="1F3864"/>
        </w:rPr>
        <w:t xml:space="preserve">2. Migration Plateaus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transformation is sequenced through the following plateaus, each triggering the next: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Plateau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Architecture (Legacy ERP)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1 (Pilot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2 (Regional Rollout)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3 (Global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Architecture (SAP RISE with S/4HANA Cloud)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State Architecture (Continuous Innovation)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Gap Analysis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gaps between the baseline and target plateaus have been identified and are each addressed by one or more Work Packages: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ERP Decommissioning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Standardization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Coverage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Skills &amp; Capability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Compliance Gap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Work Packages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Work Packages are aligned to TOGAF ADM phases and to specific migration activities, each realizing one or more Deliverables: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 - Architecture Vision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- Business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Data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Application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- Technology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- Opportunities &amp; Solutions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- Migration Planning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 - Implementation Governance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Build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Code Remediation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&amp; Hypercare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Change Management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Enablement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Quality Assurance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Decommissioning Work Package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Vision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Requirements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Governance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Migration Runbook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Cutover Plan</w:t>
      </w:r>
    </w:p>
    <w:p>
      <w:pPr>
        <w:pStyle w:val="Heading1"/>
        <w:spacing w:after="160" w:before="360"/>
      </w:pPr>
      <w:r>
        <w:rPr>
          <w:color w:val="1F3864"/>
        </w:rPr>
        <w:t xml:space="preserve">6. Implementation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Kick-off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Migration Freeze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1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2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System Decommissioning Event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7. Migration Approach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migration follows a wave-based rollout: a Pilot Rollout validates the target architecture in a single business unit, followed by a Regional Rollout, then a Global Rollout, before reaching the Target Architecture plateau. Legacy systems are retired only after the corresponding capability has been validated live on SAP S/4HANA Cloud, per the Legacy Decommissioning Work Package.</w:t>
      </w:r>
    </w:p>
    <w:p>
      <w:pPr>
        <w:pStyle w:val="Heading1"/>
        <w:spacing w:after="160" w:before="360"/>
      </w:pPr>
      <w:r>
        <w:rPr>
          <w:color w:val="1F3864"/>
        </w:rPr>
        <w:t xml:space="preserve">8. Cutover and Hypercare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freeze window declared ahead of each go-live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Cutover runbook executed per wave, including data migration, integration cutover, and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Hypercare period following each go-live wave with elevated support and daily governance checkpoints.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system decommissioning only after hypercare exit criteria are met.</w:t>
      </w:r>
    </w:p>
    <w:p>
      <w:pPr>
        <w:pStyle w:val="Heading1"/>
        <w:spacing w:after="160" w:before="360"/>
      </w:pPr>
      <w:r>
        <w:rPr>
          <w:color w:val="1F3864"/>
        </w:rPr>
        <w:t xml:space="preserve">9. Resourcing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Delivery of the Work Packages above draws on the following strategic resources: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RISE Program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Skilled ABAP/BTP Developer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Architecture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License Estate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 of Excellence - SAP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Migration Toolset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Hyperscaler Capacity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Management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&amp; Enablement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Management Office</w:t>
      </w:r>
    </w:p>
    <w:p>
      <w:pPr>
        <w:pStyle w:val="Heading1"/>
        <w:spacing w:after="160" w:before="360"/>
      </w:pPr>
      <w:r>
        <w:rPr>
          <w:color w:val="1F3864"/>
        </w:rPr>
        <w:t xml:space="preserve">10. Risk and Dependency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Work Package is tracked against the constraints identified in the Architecture Requirements Specification, in particular the fixed go-live date, limited BTP resource availability, and the fixed programme budget. Dependencies between Work Packages follow the plateau sequence and are reviewed at each Implementation Governance checkpoint (Phase G).</w:t>
      </w:r>
    </w:p>
    <w:p>
      <w:pPr>
        <w:pStyle w:val="Heading1"/>
        <w:spacing w:after="160" w:before="360"/>
      </w:pPr>
      <w:r>
        <w:rPr>
          <w:color w:val="1F3864"/>
        </w:rPr>
        <w:t xml:space="preserve">11.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plateaus, gaps, work packages, deliverables, and milestones listed above are modelled in the “Implementation &amp; Migration” organization folder of the SAP Enterprise Repository and rendered in the “Gap Analysis,” “Migration Roadmap,” “Migration Plateaus,” and “Work Package Overview” views.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Implementation and Migration Plan – Phase E/F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2026-08-13T09:31:16.175Z</dcterms:created>
  <dcterms:modified xsi:type="dcterms:W3CDTF">2026-08-13T09:31:16.175Z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