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2E74B5"/>
          <w:sz w:val="24"/>
          <w:szCs w:val="24"/>
        </w:rPr>
        <w:t xml:space="preserve">SAP RISE with SAP S/4HANA Cloud</w:t>
      </w:r>
    </w:p>
    <w:p>
      <w:pPr>
        <w:spacing w:after="400"/>
      </w:pPr>
      <w:r>
        <w:rPr>
          <w:b/>
          <w:bCs/>
          <w:color w:val="1F3864"/>
          <w:sz w:val="56"/>
          <w:szCs w:val="56"/>
        </w:rPr>
        <w:t xml:space="preserve">Architecture Roadmap</w:t>
      </w:r>
    </w:p>
    <w:p>
      <w:pPr>
        <w:spacing w:after="1200"/>
      </w:pPr>
      <w:r>
        <w:rPr>
          <w:i/>
          <w:iCs/>
          <w:color w:val="595959"/>
          <w:sz w:val="28"/>
          <w:szCs w:val="28"/>
        </w:rPr>
        <w:t xml:space="preserve">TOGAF ADM – SAP Enterprise Repository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6500"/>
            <w:shd w:fill="1F3864" w:val="clear"/>
            <w:tcMar>
              <w:top w:type="dxa" w:w="80"/>
              <w:left w:type="dxa" w:w="120"/>
              <w:bottom w:type="dxa" w:w="80"/>
              <w:right w:type="dxa" w:w="120"/>
            </w:tcMar>
            <w:vAlign w:val="center"/>
          </w:tcPr>
          <w:p>
            <w:r>
              <w:rPr>
                <w:b/>
                <w:bCs/>
                <w:color w:val="FFFFFF"/>
                <w:sz w:val="20"/>
                <w:szCs w:val="20"/>
              </w:rPr>
              <w:t xml:space="preserve">Value</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Programme</w:t>
            </w:r>
          </w:p>
        </w:tc>
        <w:tc>
          <w:tcPr>
            <w:tcW w:type="dxa" w:w="6500"/>
            <w:tcMar>
              <w:top w:type="dxa" w:w="80"/>
              <w:left w:type="dxa" w:w="120"/>
              <w:bottom w:type="dxa" w:w="80"/>
              <w:right w:type="dxa" w:w="120"/>
            </w:tcMar>
            <w:vAlign w:val="center"/>
          </w:tcPr>
          <w:p>
            <w:r>
              <w:rPr>
                <w:b w:val="false"/>
                <w:bCs w:val="false"/>
                <w:color w:val="000000"/>
                <w:sz w:val="20"/>
                <w:szCs w:val="20"/>
              </w:rPr>
              <w:t xml:space="preserve">SAP RISE with SAP S/4HANA Cloud – Enterprise Transformation</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TOGAF ADM Phase</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Cross-Phase – Phases B, C, D, E, F</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Architecture Repository</w:t>
            </w:r>
          </w:p>
        </w:tc>
        <w:tc>
          <w:tcPr>
            <w:tcW w:type="dxa" w:w="6500"/>
            <w:tcMar>
              <w:top w:type="dxa" w:w="80"/>
              <w:left w:type="dxa" w:w="120"/>
              <w:bottom w:type="dxa" w:w="80"/>
              <w:right w:type="dxa" w:w="120"/>
            </w:tcMar>
            <w:vAlign w:val="center"/>
          </w:tcPr>
          <w:p>
            <w:r>
              <w:rPr>
                <w:b w:val="false"/>
                <w:bCs w:val="false"/>
                <w:color w:val="000000"/>
                <w:sz w:val="20"/>
                <w:szCs w:val="20"/>
              </w:rPr>
              <w:t xml:space="preserve">SAP Enterprise Repository (ArchiMate 3.x model)</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Document Status</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Draft for Review</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Version</w:t>
            </w:r>
          </w:p>
        </w:tc>
        <w:tc>
          <w:tcPr>
            <w:tcW w:type="dxa" w:w="6500"/>
            <w:tcMar>
              <w:top w:type="dxa" w:w="80"/>
              <w:left w:type="dxa" w:w="120"/>
              <w:bottom w:type="dxa" w:w="80"/>
              <w:right w:type="dxa" w:w="120"/>
            </w:tcMar>
            <w:vAlign w:val="center"/>
          </w:tcPr>
          <w:p>
            <w:r>
              <w:rPr>
                <w:b w:val="false"/>
                <w:bCs w:val="false"/>
                <w:color w:val="000000"/>
                <w:sz w:val="20"/>
                <w:szCs w:val="20"/>
              </w:rPr>
              <w:t xml:space="preserve">0.1</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Date</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2026-08-13</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Prepared By</w:t>
            </w:r>
          </w:p>
        </w:tc>
        <w:tc>
          <w:tcPr>
            <w:tcW w:type="dxa" w:w="6500"/>
            <w:tcMar>
              <w:top w:type="dxa" w:w="80"/>
              <w:left w:type="dxa" w:w="120"/>
              <w:bottom w:type="dxa" w:w="80"/>
              <w:right w:type="dxa" w:w="120"/>
            </w:tcMar>
            <w:vAlign w:val="center"/>
          </w:tcPr>
          <w:p>
            <w:r>
              <w:rPr>
                <w:b w:val="false"/>
                <w:bCs w:val="false"/>
                <w:color w:val="000000"/>
                <w:sz w:val="20"/>
                <w:szCs w:val="20"/>
              </w:rPr>
              <w:t xml:space="preserve">Enterprise Architecture Team</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Classification</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Internal</w:t>
            </w:r>
          </w:p>
        </w:tc>
      </w:tr>
    </w:tbl>
    <w:p>
      <w:r>
        <w:br w:type="page"/>
      </w:r>
    </w:p>
    <w:p>
      <w:pPr>
        <w:pStyle w:val="Heading1"/>
        <w:spacing w:after="160" w:before="360"/>
      </w:pPr>
      <w:r>
        <w:rPr>
          <w:color w:val="1F3864"/>
        </w:rPr>
        <w:t xml:space="preserve">1. Introduction</w:t>
      </w:r>
    </w:p>
    <w:p>
      <w:pPr>
        <w:spacing w:after="160"/>
      </w:pPr>
      <w:r>
        <w:rPr>
          <w:b w:val="false"/>
          <w:bCs w:val="false"/>
          <w:i w:val="false"/>
          <w:iCs w:val="false"/>
        </w:rPr>
        <w:t xml:space="preserve">This Architecture Roadmap presents a consolidated, time-sequenced view of the transformation, mapping the migration plateaus defined in the Implementation and Migration Plan to the Work Packages that deliver each plateau. It is the single reference used by Programme Governance to track progress against the Target Architecture.</w:t>
      </w:r>
    </w:p>
    <w:p>
      <w:pPr>
        <w:pStyle w:val="Heading1"/>
        <w:spacing w:after="160" w:before="360"/>
      </w:pPr>
      <w:r>
        <w:rPr>
          <w:color w:val="1F3864"/>
        </w:rPr>
        <w:t xml:space="preserve">2. Roadmap Overview</w:t>
      </w:r>
    </w:p>
    <w:p>
      <w:pPr>
        <w:spacing w:after="160"/>
      </w:pPr>
      <w:r>
        <w:rPr>
          <w:b w:val="false"/>
          <w:bCs w:val="false"/>
          <w:i w:val="false"/>
          <w:iCs w:val="false"/>
        </w:rPr>
        <w:t xml:space="preserve">The roadmap is organized into six plateaus. Each plateau represents a validated, stable state of the architecture; transition between plateaus is triggered only once the relevant Work Packages have delivered their Deliverables and passed Implementation Governance review.</w:t>
      </w:r>
    </w:p>
    <w:p>
      <w:pPr>
        <w:pStyle w:val="Heading1"/>
        <w:spacing w:after="160" w:before="360"/>
      </w:pPr>
      <w:r>
        <w:rPr>
          <w:color w:val="1F3864"/>
        </w:rPr>
        <w:t xml:space="preserve">3. Plateau-by-Plateau Work Package Sequencing</w:t>
      </w:r>
    </w:p>
    <w:p>
      <w:pPr>
        <w:pStyle w:val="Heading2"/>
        <w:spacing w:after="120" w:before="280"/>
      </w:pPr>
      <w:r>
        <w:rPr>
          <w:color w:val="2E74B5"/>
        </w:rPr>
        <w:t xml:space="preserve">Baseline Architecture (Legacy ERP)</w:t>
      </w:r>
    </w:p>
    <w:p>
      <w:pPr>
        <w:pStyle w:val="ListParagraph"/>
        <w:numPr>
          <w:ilvl w:val="0"/>
          <w:numId w:val="2"/>
        </w:numPr>
        <w:spacing w:after="80"/>
      </w:pPr>
      <w:r>
        <w:t xml:space="preserve">Phase A - Architecture Vision Work Package</w:t>
      </w:r>
    </w:p>
    <w:p>
      <w:pPr>
        <w:pStyle w:val="ListParagraph"/>
        <w:numPr>
          <w:ilvl w:val="0"/>
          <w:numId w:val="2"/>
        </w:numPr>
        <w:spacing w:after="80"/>
      </w:pPr>
      <w:r>
        <w:t xml:space="preserve">Phase B - Business Architecture Work Package</w:t>
      </w:r>
    </w:p>
    <w:p>
      <w:pPr>
        <w:pStyle w:val="ListParagraph"/>
        <w:numPr>
          <w:ilvl w:val="0"/>
          <w:numId w:val="2"/>
        </w:numPr>
        <w:spacing w:after="80"/>
      </w:pPr>
      <w:r>
        <w:t xml:space="preserve">Phase C - Data Architecture Work Package</w:t>
      </w:r>
    </w:p>
    <w:p>
      <w:pPr>
        <w:pStyle w:val="Heading2"/>
        <w:spacing w:after="120" w:before="280"/>
      </w:pPr>
      <w:r>
        <w:rPr>
          <w:color w:val="2E74B5"/>
        </w:rPr>
        <w:t xml:space="preserve">Transition Architecture 1 (Pilot Rollout)</w:t>
      </w:r>
    </w:p>
    <w:p>
      <w:pPr>
        <w:pStyle w:val="ListParagraph"/>
        <w:numPr>
          <w:ilvl w:val="0"/>
          <w:numId w:val="2"/>
        </w:numPr>
        <w:spacing w:after="80"/>
      </w:pPr>
      <w:r>
        <w:t xml:space="preserve">Phase C - Application Architecture Work Package</w:t>
      </w:r>
    </w:p>
    <w:p>
      <w:pPr>
        <w:pStyle w:val="ListParagraph"/>
        <w:numPr>
          <w:ilvl w:val="0"/>
          <w:numId w:val="2"/>
        </w:numPr>
        <w:spacing w:after="80"/>
      </w:pPr>
      <w:r>
        <w:t xml:space="preserve">Phase D - Technology Architecture Work Package</w:t>
      </w:r>
    </w:p>
    <w:p>
      <w:pPr>
        <w:pStyle w:val="ListParagraph"/>
        <w:numPr>
          <w:ilvl w:val="0"/>
          <w:numId w:val="2"/>
        </w:numPr>
        <w:spacing w:after="80"/>
      </w:pPr>
      <w:r>
        <w:t xml:space="preserve">Phase E - Opportunities &amp; Solutions Work Package</w:t>
      </w:r>
    </w:p>
    <w:p>
      <w:pPr>
        <w:pStyle w:val="Heading2"/>
        <w:spacing w:after="120" w:before="280"/>
      </w:pPr>
      <w:r>
        <w:rPr>
          <w:color w:val="2E74B5"/>
        </w:rPr>
        <w:t xml:space="preserve">Transition Architecture 2 (Regional Rollout)</w:t>
      </w:r>
    </w:p>
    <w:p>
      <w:pPr>
        <w:pStyle w:val="ListParagraph"/>
        <w:numPr>
          <w:ilvl w:val="0"/>
          <w:numId w:val="2"/>
        </w:numPr>
        <w:spacing w:after="80"/>
      </w:pPr>
      <w:r>
        <w:t xml:space="preserve">Phase F - Migration Planning Work Package</w:t>
      </w:r>
    </w:p>
    <w:p>
      <w:pPr>
        <w:pStyle w:val="ListParagraph"/>
        <w:numPr>
          <w:ilvl w:val="0"/>
          <w:numId w:val="2"/>
        </w:numPr>
        <w:spacing w:after="80"/>
      </w:pPr>
      <w:r>
        <w:t xml:space="preserve">Phase G - Implementation Governance Work Package</w:t>
      </w:r>
    </w:p>
    <w:p>
      <w:pPr>
        <w:pStyle w:val="ListParagraph"/>
        <w:numPr>
          <w:ilvl w:val="0"/>
          <w:numId w:val="2"/>
        </w:numPr>
        <w:spacing w:after="80"/>
      </w:pPr>
      <w:r>
        <w:t xml:space="preserve">Data Migration Work Package</w:t>
      </w:r>
    </w:p>
    <w:p>
      <w:pPr>
        <w:pStyle w:val="Heading2"/>
        <w:spacing w:after="120" w:before="280"/>
      </w:pPr>
      <w:r>
        <w:rPr>
          <w:color w:val="2E74B5"/>
        </w:rPr>
        <w:t xml:space="preserve">Transition Architecture 3 (Global Rollout)</w:t>
      </w:r>
    </w:p>
    <w:p>
      <w:pPr>
        <w:pStyle w:val="ListParagraph"/>
        <w:numPr>
          <w:ilvl w:val="0"/>
          <w:numId w:val="2"/>
        </w:numPr>
        <w:spacing w:after="80"/>
      </w:pPr>
      <w:r>
        <w:t xml:space="preserve">Integration Build Work Package</w:t>
      </w:r>
    </w:p>
    <w:p>
      <w:pPr>
        <w:pStyle w:val="ListParagraph"/>
        <w:numPr>
          <w:ilvl w:val="0"/>
          <w:numId w:val="2"/>
        </w:numPr>
        <w:spacing w:after="80"/>
      </w:pPr>
      <w:r>
        <w:t xml:space="preserve">Custom Code Remediation Work Package</w:t>
      </w:r>
    </w:p>
    <w:p>
      <w:pPr>
        <w:pStyle w:val="ListParagraph"/>
        <w:numPr>
          <w:ilvl w:val="0"/>
          <w:numId w:val="2"/>
        </w:numPr>
        <w:spacing w:after="80"/>
      </w:pPr>
      <w:r>
        <w:t xml:space="preserve">Cutover &amp; Hypercare Work Package</w:t>
      </w:r>
    </w:p>
    <w:p>
      <w:pPr>
        <w:pStyle w:val="Heading2"/>
        <w:spacing w:after="120" w:before="280"/>
      </w:pPr>
      <w:r>
        <w:rPr>
          <w:color w:val="2E74B5"/>
        </w:rPr>
        <w:t xml:space="preserve">Target Architecture (SAP RISE with S/4HANA Cloud)</w:t>
      </w:r>
    </w:p>
    <w:p>
      <w:pPr>
        <w:pStyle w:val="ListParagraph"/>
        <w:numPr>
          <w:ilvl w:val="0"/>
          <w:numId w:val="2"/>
        </w:numPr>
        <w:spacing w:after="80"/>
      </w:pPr>
      <w:r>
        <w:t xml:space="preserve">Organizational Change Management Work Package</w:t>
      </w:r>
    </w:p>
    <w:p>
      <w:pPr>
        <w:pStyle w:val="ListParagraph"/>
        <w:numPr>
          <w:ilvl w:val="0"/>
          <w:numId w:val="2"/>
        </w:numPr>
        <w:spacing w:after="80"/>
      </w:pPr>
      <w:r>
        <w:t xml:space="preserve">Training &amp; Enablement Work Package</w:t>
      </w:r>
    </w:p>
    <w:p>
      <w:pPr>
        <w:pStyle w:val="Heading2"/>
        <w:spacing w:after="120" w:before="280"/>
      </w:pPr>
      <w:r>
        <w:rPr>
          <w:color w:val="2E74B5"/>
        </w:rPr>
        <w:t xml:space="preserve">Future State Architecture (Continuous Innovation)</w:t>
      </w:r>
    </w:p>
    <w:p>
      <w:pPr>
        <w:pStyle w:val="ListParagraph"/>
        <w:numPr>
          <w:ilvl w:val="0"/>
          <w:numId w:val="2"/>
        </w:numPr>
        <w:spacing w:after="80"/>
      </w:pPr>
      <w:r>
        <w:t xml:space="preserve">Testing &amp; Quality Assurance Work Package</w:t>
      </w:r>
    </w:p>
    <w:p>
      <w:pPr>
        <w:pStyle w:val="ListParagraph"/>
        <w:numPr>
          <w:ilvl w:val="0"/>
          <w:numId w:val="2"/>
        </w:numPr>
        <w:spacing w:after="80"/>
      </w:pPr>
      <w:r>
        <w:t xml:space="preserve">Legacy Decommissioning Work Package</w:t>
      </w:r>
    </w:p>
    <w:p>
      <w:pPr>
        <w:pStyle w:val="Heading1"/>
        <w:spacing w:after="160" w:before="360"/>
      </w:pPr>
      <w:r>
        <w:rPr>
          <w:color w:val="1F3864"/>
        </w:rPr>
        <w:t xml:space="preserve">4. Milestones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8200"/>
      </w:tblGrid>
      <w:tr>
        <w:trPr>
          <w:tblHeader/>
        </w:trPr>
        <w:tc>
          <w:tcPr>
            <w:tcW w:type="dxa" w:w="800"/>
            <w:shd w:fill="1F3864" w:val="clear"/>
            <w:tcMar>
              <w:top w:type="dxa" w:w="80"/>
              <w:left w:type="dxa" w:w="120"/>
              <w:bottom w:type="dxa" w:w="80"/>
              <w:right w:type="dxa" w:w="120"/>
            </w:tcMar>
            <w:vAlign w:val="center"/>
          </w:tcPr>
          <w:p>
            <w:r>
              <w:rPr>
                <w:b/>
                <w:bCs/>
                <w:color w:val="FFFFFF"/>
                <w:sz w:val="20"/>
                <w:szCs w:val="20"/>
              </w:rPr>
              <w:t xml:space="preserve">#</w:t>
            </w:r>
          </w:p>
        </w:tc>
        <w:tc>
          <w:tcPr>
            <w:tcW w:type="dxa" w:w="8200"/>
            <w:shd w:fill="1F3864" w:val="clear"/>
            <w:tcMar>
              <w:top w:type="dxa" w:w="80"/>
              <w:left w:type="dxa" w:w="120"/>
              <w:bottom w:type="dxa" w:w="80"/>
              <w:right w:type="dxa" w:w="120"/>
            </w:tcMar>
            <w:vAlign w:val="center"/>
          </w:tcPr>
          <w:p>
            <w:r>
              <w:rPr>
                <w:b/>
                <w:bCs/>
                <w:color w:val="FFFFFF"/>
                <w:sz w:val="20"/>
                <w:szCs w:val="20"/>
              </w:rPr>
              <w:t xml:space="preserve">Milestone</w:t>
            </w:r>
          </w:p>
        </w:tc>
      </w:tr>
      <w:tr>
        <w:tc>
          <w:tcPr>
            <w:tcW w:type="dxa" w:w="800"/>
            <w:tcMar>
              <w:top w:type="dxa" w:w="80"/>
              <w:left w:type="dxa" w:w="120"/>
              <w:bottom w:type="dxa" w:w="80"/>
              <w:right w:type="dxa" w:w="120"/>
            </w:tcMar>
            <w:vAlign w:val="center"/>
          </w:tcPr>
          <w:p>
            <w:r>
              <w:rPr>
                <w:b w:val="false"/>
                <w:bCs w:val="false"/>
                <w:color w:val="000000"/>
                <w:sz w:val="20"/>
                <w:szCs w:val="20"/>
              </w:rPr>
              <w:t xml:space="preserve">1</w:t>
            </w:r>
          </w:p>
        </w:tc>
        <w:tc>
          <w:tcPr>
            <w:tcW w:type="dxa" w:w="8200"/>
            <w:tcMar>
              <w:top w:type="dxa" w:w="80"/>
              <w:left w:type="dxa" w:w="120"/>
              <w:bottom w:type="dxa" w:w="80"/>
              <w:right w:type="dxa" w:w="120"/>
            </w:tcMar>
            <w:vAlign w:val="center"/>
          </w:tcPr>
          <w:p>
            <w:r>
              <w:rPr>
                <w:b w:val="false"/>
                <w:bCs w:val="false"/>
                <w:color w:val="000000"/>
                <w:sz w:val="20"/>
                <w:szCs w:val="20"/>
              </w:rPr>
              <w:t xml:space="preserve">Program Kick-off</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2</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Phase F Migration Freeze</w:t>
            </w:r>
          </w:p>
        </w:tc>
      </w:tr>
      <w:tr>
        <w:tc>
          <w:tcPr>
            <w:tcW w:type="dxa" w:w="800"/>
            <w:tcMar>
              <w:top w:type="dxa" w:w="80"/>
              <w:left w:type="dxa" w:w="120"/>
              <w:bottom w:type="dxa" w:w="80"/>
              <w:right w:type="dxa" w:w="120"/>
            </w:tcMar>
            <w:vAlign w:val="center"/>
          </w:tcPr>
          <w:p>
            <w:r>
              <w:rPr>
                <w:b w:val="false"/>
                <w:bCs w:val="false"/>
                <w:color w:val="000000"/>
                <w:sz w:val="20"/>
                <w:szCs w:val="20"/>
              </w:rPr>
              <w:t xml:space="preserve">3</w:t>
            </w:r>
          </w:p>
        </w:tc>
        <w:tc>
          <w:tcPr>
            <w:tcW w:type="dxa" w:w="8200"/>
            <w:tcMar>
              <w:top w:type="dxa" w:w="80"/>
              <w:left w:type="dxa" w:w="120"/>
              <w:bottom w:type="dxa" w:w="80"/>
              <w:right w:type="dxa" w:w="120"/>
            </w:tcMar>
            <w:vAlign w:val="center"/>
          </w:tcPr>
          <w:p>
            <w:r>
              <w:rPr>
                <w:b w:val="false"/>
                <w:bCs w:val="false"/>
                <w:color w:val="000000"/>
                <w:sz w:val="20"/>
                <w:szCs w:val="20"/>
              </w:rPr>
              <w:t xml:space="preserve">Go-Live - Wave 1</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4</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Go-Live - Wave 2</w:t>
            </w:r>
          </w:p>
        </w:tc>
      </w:tr>
      <w:tr>
        <w:tc>
          <w:tcPr>
            <w:tcW w:type="dxa" w:w="800"/>
            <w:tcMar>
              <w:top w:type="dxa" w:w="80"/>
              <w:left w:type="dxa" w:w="120"/>
              <w:bottom w:type="dxa" w:w="80"/>
              <w:right w:type="dxa" w:w="120"/>
            </w:tcMar>
            <w:vAlign w:val="center"/>
          </w:tcPr>
          <w:p>
            <w:r>
              <w:rPr>
                <w:b w:val="false"/>
                <w:bCs w:val="false"/>
                <w:color w:val="000000"/>
                <w:sz w:val="20"/>
                <w:szCs w:val="20"/>
              </w:rPr>
              <w:t xml:space="preserve">5</w:t>
            </w:r>
          </w:p>
        </w:tc>
        <w:tc>
          <w:tcPr>
            <w:tcW w:type="dxa" w:w="8200"/>
            <w:tcMar>
              <w:top w:type="dxa" w:w="80"/>
              <w:left w:type="dxa" w:w="120"/>
              <w:bottom w:type="dxa" w:w="80"/>
              <w:right w:type="dxa" w:w="120"/>
            </w:tcMar>
            <w:vAlign w:val="center"/>
          </w:tcPr>
          <w:p>
            <w:r>
              <w:rPr>
                <w:b w:val="false"/>
                <w:bCs w:val="false"/>
                <w:color w:val="000000"/>
                <w:sz w:val="20"/>
                <w:szCs w:val="20"/>
              </w:rPr>
              <w:t xml:space="preserve">Legacy System Decommissioning Event</w:t>
            </w:r>
          </w:p>
        </w:tc>
      </w:tr>
    </w:tbl>
    <w:p>
      <w:pPr>
        <w:spacing w:after="200"/>
      </w:pPr>
    </w:p>
    <w:p>
      <w:pPr>
        <w:pStyle w:val="Heading1"/>
        <w:spacing w:after="160" w:before="360"/>
      </w:pPr>
      <w:r>
        <w:rPr>
          <w:color w:val="1F3864"/>
        </w:rPr>
        <w:t xml:space="preserve">5. Capability Roadmap</w:t>
      </w:r>
    </w:p>
    <w:p>
      <w:pPr>
        <w:spacing w:after="160"/>
      </w:pPr>
      <w:r>
        <w:rPr>
          <w:b w:val="false"/>
          <w:bCs w:val="false"/>
          <w:i w:val="false"/>
          <w:iCs w:val="false"/>
        </w:rPr>
        <w:t xml:space="preserve">Capability maturity is tracked plateau by plateau via the Capability Map heatmap in the SAP Enterprise Repository. Capabilities assessed as Low maturity at Baseline are targeted for uplift by the Pilot Rollout or Regional Rollout plateau at the latest; all capabilities are targeted for High maturity by the Target Architecture plateau.</w:t>
      </w:r>
    </w:p>
    <w:p>
      <w:pPr>
        <w:pStyle w:val="Heading1"/>
        <w:spacing w:after="160" w:before="360"/>
      </w:pPr>
      <w:r>
        <w:rPr>
          <w:color w:val="1F3864"/>
        </w:rPr>
        <w:t xml:space="preserve">6. Governance Checkpoints</w:t>
      </w:r>
    </w:p>
    <w:p>
      <w:pPr>
        <w:pStyle w:val="ListParagraph"/>
        <w:numPr>
          <w:ilvl w:val="0"/>
          <w:numId w:val="2"/>
        </w:numPr>
        <w:spacing w:after="80"/>
      </w:pPr>
      <w:r>
        <w:t xml:space="preserve">Architecture Board review at the end of each plateau, prior to triggering the next.</w:t>
      </w:r>
    </w:p>
    <w:p>
      <w:pPr>
        <w:pStyle w:val="ListParagraph"/>
        <w:numPr>
          <w:ilvl w:val="0"/>
          <w:numId w:val="2"/>
        </w:numPr>
        <w:spacing w:after="80"/>
      </w:pPr>
      <w:r>
        <w:t xml:space="preserve">Compliance Assessment against the Architecture Requirements Specification before each go-live wave.</w:t>
      </w:r>
    </w:p>
    <w:p>
      <w:pPr>
        <w:pStyle w:val="ListParagraph"/>
        <w:numPr>
          <w:ilvl w:val="0"/>
          <w:numId w:val="2"/>
        </w:numPr>
        <w:spacing w:after="80"/>
      </w:pPr>
      <w:r>
        <w:t xml:space="preserve">Post-implementation review during Hypercare, feeding into Architecture Change Management (Phase H).</w:t>
      </w:r>
    </w:p>
    <w:p>
      <w:pPr>
        <w:pStyle w:val="Heading1"/>
        <w:spacing w:after="160" w:before="360"/>
      </w:pPr>
      <w:r>
        <w:rPr>
          <w:color w:val="1F3864"/>
        </w:rPr>
        <w:t xml:space="preserve">7. Dependencies and Critical Path</w:t>
      </w:r>
    </w:p>
    <w:p>
      <w:pPr>
        <w:spacing w:after="160"/>
      </w:pPr>
      <w:r>
        <w:rPr>
          <w:b w:val="false"/>
          <w:bCs w:val="false"/>
          <w:i w:val="false"/>
          <w:iCs w:val="false"/>
        </w:rPr>
        <w:t xml:space="preserve">The critical path runs through Master Data Governance readiness (Data Migration Work Package), Integration Build (Integration Build Work Package), and Custom Code Remediation, all of which must complete before the first go-live wave. Legacy Decommissioning is the final Work Package and is gated on successful Hypercare exit for all migrated capabilities.</w:t>
      </w:r>
    </w:p>
    <w:p>
      <w:pPr>
        <w:pStyle w:val="Heading1"/>
        <w:spacing w:after="160" w:before="360"/>
      </w:pPr>
      <w:r>
        <w:rPr>
          <w:color w:val="1F3864"/>
        </w:rPr>
        <w:t xml:space="preserve">8. Traceability</w:t>
      </w:r>
    </w:p>
    <w:p>
      <w:pPr>
        <w:spacing w:after="160"/>
      </w:pPr>
      <w:r>
        <w:rPr>
          <w:b w:val="false"/>
          <w:bCs w:val="false"/>
          <w:i w:val="false"/>
          <w:iCs w:val="false"/>
        </w:rPr>
        <w:t xml:space="preserve">This roadmap is directly generated from the Plateau, Work Package, Deliverable, and Implementation Event elements of the SAP Enterprise Repository and corresponds to the “Migration Roadmap” and “Migration Plateaus” views.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SAP Enterprise Repository –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Architecture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2026-08-13T09:31:16.346Z</dcterms:created>
  <dcterms:modified xsi:type="dcterms:W3CDTF">2026-08-13T09:31:16.346Z</dcterms:modified>
</cp:coreProperties>
</file>

<file path=docProps/custom.xml><?xml version="1.0" encoding="utf-8"?>
<Properties xmlns="http://schemas.openxmlformats.org/officeDocument/2006/custom-properties" xmlns:vt="http://schemas.openxmlformats.org/officeDocument/2006/docPropsVTypes"/>
</file>