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Architecture Vision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Introduction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Architecture Vision defines the scope, stakeholders, and expected outcomes for the SAP RISE with SAP S/4HANA Cloud enterprise transformation.</w:t>
      </w:r>
    </w:p>
    <w:p>
      <w:pPr>
        <w:pStyle w:val="Heading1"/>
        <w:spacing w:after="160" w:before="360"/>
      </w:pPr>
      <w:r>
        <w:rPr>
          <w:color w:val="1F3864"/>
        </w:rPr>
        <w:t xml:space="preserve">2. Stakeholders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CIO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CFO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Chief Enterprise Architect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 Sponsor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Process Owner - Finance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Process Owner - Procurement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Process Owner - HR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Process Owner - Supply Chain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 Security Officer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Protection Officer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Basis Team Lead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Architect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Management Lead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 Architect - S/4HANA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 Architect - BTP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SI Partner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Account Executive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Audit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Works Council Representative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outcomes, risk, and value realization relevant to their role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Drivers and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Total Cost of Ownership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Increase Business Agility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Ensure Regulatory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 Data Quality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Continuous Innovation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Sustainability Reporting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Migrate to SAP S/4HANA Cloud by Target 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Decommission Legacy ERP Landscape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Achieve Clean Core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Custom Code Footprint by 50%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Standardize Global Business Processes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 System Availability to 99.9%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Integration Lead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Self-Service Analytics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Achieve Single Source of Master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Carbon Footprint of IT Estate</w:t>
      </w:r>
    </w:p>
    <w:p>
      <w:pPr>
        <w:pStyle w:val="Heading1"/>
        <w:spacing w:after="160" w:before="360"/>
      </w:pPr>
      <w:r>
        <w:rPr>
          <w:color w:val="1F3864"/>
        </w:rPr>
        <w:t xml:space="preserve">4. Baseline and Target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Plateau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Architecture (Legacy ERP)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Transition Architecture 1 (Pilot Rollout)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Transition Architecture 2 (Regional Rollout)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Transition Architecture 3 (Global Rollout)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Architecture (SAP RISE with S/4HANA Cloud)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Future State Architecture (Continuous Innovation)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5. Value Streams / Capabilities 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Lead-to-Cash Value Stream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Source-to-Pay Value Stream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Hire-to-Retire Value Stream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Plan-to-Fulfil Value Stream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Idea-to-Market Value Stream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Record-to-Report Value Stream</w:t>
      </w:r>
    </w:p>
    <w:p>
      <w:pPr>
        <w:pStyle w:val="Heading1"/>
        <w:spacing w:after="160" w:before="360"/>
      </w:pPr>
      <w:r>
        <w:rPr>
          <w:color w:val="1F3864"/>
        </w:rPr>
        <w:t xml:space="preserve">6. Risks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High-level risks are tracked in the Risk Assessment view of the Architecture Repository and detailed further in the Implementation and Migration Plan.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Architecture Vision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2026-08-13T11:43:09.150Z</dcterms:created>
  <dcterms:modified xsi:type="dcterms:W3CDTF">2026-08-13T11:43:09.150Z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