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Capability Assessment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Capability Assessment records the current maturity of the strategic capabilities in scope for the SAP RISE with SAP S/4HANA Cloud enterprise transformation, informing prioritization of the migration roadmap.</w:t>
      </w:r>
    </w:p>
    <w:p>
      <w:pPr>
        <w:pStyle w:val="Heading1"/>
        <w:spacing w:after="160" w:before="360"/>
      </w:pPr>
      <w:r>
        <w:rPr>
          <w:color w:val="1F3864"/>
        </w:rPr>
        <w:t xml:space="preserve">2. Capabilities Assessed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rPr>
          <w:tblHeader/>
        </w:trPr>
        <w:tc>
          <w:tcPr>
            <w:tcW w:type="dxa" w:w="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Order-to-Cash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Procure-to-Pay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Record-to-Report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Hire-to-Retire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Plan-to-Produce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Forecast-to-Plan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Source-to-Contract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 Management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Warehouse Management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Transportation Management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Master Data Management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 Master Data Management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 Planning &amp; Analysis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Treasury Management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&amp; Collections Management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Lifecycle Management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Quality Management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 Management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Management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 Management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Talent Acquisition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Payroll Management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Travel &amp; Expense Management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Intelligence &amp; Reporting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Master Data Governance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Management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Identity &amp; Access Management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Lifecycle Management</w:t>
            </w:r>
          </w:p>
        </w:tc>
      </w:tr>
      <w:t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 Service Management</w:t>
            </w:r>
          </w:p>
        </w:tc>
      </w:tr>
      <w:tr>
        <w:tc>
          <w:tcPr>
            <w:tcW w:type="dxa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8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Sustainability Management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Assessment Method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Each capability is assessed on a Low / Medium / High maturity scale. Capabilities assessed as Low maturity are prioritized into the earliest transition plateau; the assessment is recorded as a "Maturity" property on each Capability element and rendered as a heatmap in the Capability Map view.</w:t>
      </w:r>
    </w:p>
    <w:p>
      <w:pPr>
        <w:pStyle w:val="Heading1"/>
        <w:spacing w:after="160" w:before="360"/>
      </w:pPr>
      <w:r>
        <w:rPr>
          <w:color w:val="1F3864"/>
        </w:rPr>
        <w:t xml:space="preserve">4. Assessments Informing This Review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Legacy ERP End-of-Maintenance Assessment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Code Usage Assessment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Readiness Assessment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Complexity Assessment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Quality Assessment</w:t>
      </w:r>
    </w:p>
    <w:p>
      <w:pPr>
        <w:pStyle w:val="Heading1"/>
        <w:spacing w:after="160" w:before="360"/>
      </w:pPr>
      <w:r>
        <w:rPr>
          <w:color w:val="1F3864"/>
        </w:rPr>
        <w:t xml:space="preserve">5. Next Steps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Capabilities assessed as Low or Medium maturity are carried forward into the Architecture Vision and tracked through Phase F (Migration Planning) until they reach the target maturity level.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Capability Assessment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2026-08-13T11:43:09.099Z</dcterms:created>
  <dcterms:modified xsi:type="dcterms:W3CDTF">2026-08-13T11:43:09.099Z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