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Business Principles, Goals, and Drivers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Preliminary Phase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deliverable records the business principles, goals, and drivers that frame the architecture effort for the SAP RISE with SAP S/4HANA Cloud enterprise transformation, captured before detailed architecture work begins in Phase A.</w:t>
      </w:r>
    </w:p>
    <w:p>
      <w:pPr>
        <w:pStyle w:val="Heading1"/>
        <w:spacing w:after="160" w:before="360"/>
      </w:pPr>
      <w:r>
        <w:rPr>
          <w:color w:val="1F3864"/>
        </w:rPr>
        <w:t xml:space="preserve">2. Business Drivers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Total Cost of Ownership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Increase Business Agility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 Regulatory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 Data Quality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Continuous Innovation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Sustainability Reporting</w:t>
      </w:r>
    </w:p>
    <w:p>
      <w:pPr>
        <w:pStyle w:val="Heading1"/>
        <w:spacing w:after="160" w:before="360"/>
      </w:pPr>
      <w:r>
        <w:rPr>
          <w:color w:val="1F3864"/>
        </w:rPr>
        <w:t xml:space="preserve">3. Business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Migrate to SAP S/4HANA Cloud by Target 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Decommission Legacy ERP Landscape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Achieve Clean Core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Custom Code Footprint by 50%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Standardize Global Business Processes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 System Availability to 99.9%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Integration Lead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Self-Service Analytics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Achieve Single Source of Master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Carbon Footprint of IT Estate</w:t>
      </w:r>
    </w:p>
    <w:p>
      <w:pPr>
        <w:pStyle w:val="Heading1"/>
        <w:spacing w:after="160" w:before="360"/>
      </w:pPr>
      <w:r>
        <w:rPr>
          <w:color w:val="1F3864"/>
        </w:rPr>
        <w:t xml:space="preserve">4. Architecture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Core Clean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Prefer Configuration over Customization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for API-First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Adopt Cloud-Native Services by Default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Privacy by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Reuse before Buy before Build</w:t>
      </w:r>
    </w:p>
    <w:p>
      <w:pPr>
        <w:pStyle w:val="Heading1"/>
        <w:spacing w:after="160" w:before="360"/>
      </w:pPr>
      <w:r>
        <w:rPr>
          <w:color w:val="1F3864"/>
        </w:rPr>
        <w:t xml:space="preserve">5. Relationship to the Architecture Repository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These principles, goals, and drivers are modelled as first-class Motivation-layer elements in the SAP Enterprise Repository and are referenced by every subsequent ADM phase deliverable, rather than being redefined in each one.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Business Principles, Goals, and Drivers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2026-08-13T11:43:08.731Z</dcterms:created>
  <dcterms:modified xsi:type="dcterms:W3CDTF">2026-08-13T11:43:08.731Z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