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Tailored Architecture Framework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Preliminary Phase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deliverable records how the TOGAF Architecture Development Method (ADM) has been tailored for the SAP RISE with SAP S/4HANA Cloud enterprise transformation.</w:t>
      </w:r>
    </w:p>
    <w:p>
      <w:pPr>
        <w:pStyle w:val="Heading1"/>
        <w:spacing w:after="160" w:before="360"/>
      </w:pPr>
      <w:r>
        <w:rPr>
          <w:color w:val="1F3864"/>
        </w:rPr>
        <w:t xml:space="preserve">2. Framework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ten TOGAF ADM phases are in scope: Preliminary, A through 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framework: ArchiMate 3.x, using the standard Motivation, Strategy, Business, Application, Technology, and Implementation &amp; Migration layers.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 Repository: a single ArchiMate exchange-format model (SAP Enterprise Repository) plus phase-scoped extracts for each ADM phase.</w:t>
      </w:r>
    </w:p>
    <w:p>
      <w:pPr>
        <w:pStyle w:val="Heading1"/>
        <w:spacing w:after="160" w:before="360"/>
      </w:pPr>
      <w:r>
        <w:rPr>
          <w:color w:val="1F3864"/>
        </w:rPr>
        <w:t xml:space="preserve">3. Tailoring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Phases C (Data) and C (Application) are documented as two separate deliverables rather than one combined document, given the volume of application landscape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is modelled using the ArchiMate Assessment element (no native Risk element exists in ArchiMate 3.x), prefixed "Risk:" for clarity.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Later phases (E through H) reference elements already defined in Phases B/C/D rather than redefining them, consistent with capability-based planning practice.</w:t>
      </w:r>
    </w:p>
    <w:p>
      <w:pPr>
        <w:pStyle w:val="Heading1"/>
        <w:spacing w:after="160" w:before="360"/>
      </w:pPr>
      <w:r>
        <w:rPr>
          <w:color w:val="1F3864"/>
        </w:rPr>
        <w:t xml:space="preserve">4. Governance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Tailoring decisions are owned by the Enterprise Architecture team and reviewed at each Architecture Board checkpoint; see the Organizational Model for Enterprise Architecture for governance roles.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Tailored Architecture Framework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2026-08-13T11:43:08.864Z</dcterms:created>
  <dcterms:modified xsi:type="dcterms:W3CDTF">2026-08-13T11:43:08.864Z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