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4"/>
        </w:rPr>
        <w:t>SAP RISE with SAP S/4HANA Cloud</w:t>
      </w:r>
    </w:p>
    <w:p>
      <w:r>
        <w:rPr>
          <w:b/>
          <w:sz w:val="56"/>
        </w:rPr>
        <w:t>Opportunities &amp; Solutions Assessment</w:t>
      </w:r>
    </w:p>
    <w:p>
      <w:r>
        <w:rPr>
          <w:i/>
          <w:sz w:val="28"/>
        </w:rPr>
        <w:t>Centralized Identity &amp; Access Management – TOGAF ADM Phase E</w:t>
      </w:r>
    </w:p>
    <w:p/>
    <w:tbl>
      <w:tblPr>
        <w:tblStyle w:val="TableGrid"/>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Value</w:t>
            </w:r>
          </w:p>
        </w:tc>
      </w:tr>
      <w:tr>
        <w:tc>
          <w:tcPr>
            <w:tcW w:type="dxa" w:w="4320"/>
          </w:tcPr>
          <w:p>
            <w:r>
              <w:t>Programme</w:t>
            </w:r>
          </w:p>
        </w:tc>
        <w:tc>
          <w:tcPr>
            <w:tcW w:type="dxa" w:w="4320"/>
          </w:tcPr>
          <w:p>
            <w:r>
              <w:t>SAP RISE with SAP S/4HANA Cloud – Enterprise Transformation</w:t>
            </w:r>
          </w:p>
        </w:tc>
      </w:tr>
      <w:tr>
        <w:tc>
          <w:tcPr>
            <w:tcW w:type="dxa" w:w="4320"/>
          </w:tcPr>
          <w:p>
            <w:r>
              <w:t>TOGAF ADM Phase</w:t>
            </w:r>
          </w:p>
        </w:tc>
        <w:tc>
          <w:tcPr>
            <w:tcW w:type="dxa" w:w="4320"/>
          </w:tcPr>
          <w:p>
            <w:r>
              <w:t>Phase E - Opportunities and Solutions</w:t>
            </w:r>
          </w:p>
        </w:tc>
      </w:tr>
      <w:tr>
        <w:tc>
          <w:tcPr>
            <w:tcW w:type="dxa" w:w="4320"/>
          </w:tcPr>
          <w:p>
            <w:r>
              <w:t>Architecture Repository</w:t>
            </w:r>
          </w:p>
        </w:tc>
        <w:tc>
          <w:tcPr>
            <w:tcW w:type="dxa" w:w="4320"/>
          </w:tcPr>
          <w:p>
            <w:r>
              <w:t>SAP Centralized IAM Repository (ArchiMate 3.x model)</w:t>
            </w:r>
          </w:p>
        </w:tc>
      </w:tr>
      <w:tr>
        <w:tc>
          <w:tcPr>
            <w:tcW w:type="dxa" w:w="4320"/>
          </w:tcPr>
          <w:p>
            <w:r>
              <w:t>Document Status</w:t>
            </w:r>
          </w:p>
        </w:tc>
        <w:tc>
          <w:tcPr>
            <w:tcW w:type="dxa" w:w="4320"/>
          </w:tcPr>
          <w:p>
            <w:r>
              <w:t>Draft for Review</w:t>
            </w:r>
          </w:p>
        </w:tc>
      </w:tr>
      <w:tr>
        <w:tc>
          <w:tcPr>
            <w:tcW w:type="dxa" w:w="4320"/>
          </w:tcPr>
          <w:p>
            <w:r>
              <w:t>Version</w:t>
            </w:r>
          </w:p>
        </w:tc>
        <w:tc>
          <w:tcPr>
            <w:tcW w:type="dxa" w:w="4320"/>
          </w:tcPr>
          <w:p>
            <w:r>
              <w:t>0.1</w:t>
            </w:r>
          </w:p>
        </w:tc>
      </w:tr>
      <w:tr>
        <w:tc>
          <w:tcPr>
            <w:tcW w:type="dxa" w:w="4320"/>
          </w:tcPr>
          <w:p>
            <w:r>
              <w:t>Date</w:t>
            </w:r>
          </w:p>
        </w:tc>
        <w:tc>
          <w:tcPr>
            <w:tcW w:type="dxa" w:w="4320"/>
          </w:tcPr>
          <w:p>
            <w:r>
              <w:t>2026-08-14</w:t>
            </w:r>
          </w:p>
        </w:tc>
      </w:tr>
      <w:tr>
        <w:tc>
          <w:tcPr>
            <w:tcW w:type="dxa" w:w="4320"/>
          </w:tcPr>
          <w:p>
            <w:r>
              <w:t>Prepared By</w:t>
            </w:r>
          </w:p>
        </w:tc>
        <w:tc>
          <w:tcPr>
            <w:tcW w:type="dxa" w:w="4320"/>
          </w:tcPr>
          <w:p>
            <w:r>
              <w:t>Enterprise Architecture Team</w:t>
            </w:r>
          </w:p>
        </w:tc>
      </w:tr>
      <w:tr>
        <w:tc>
          <w:tcPr>
            <w:tcW w:type="dxa" w:w="4320"/>
          </w:tcPr>
          <w:p>
            <w:r>
              <w:t>Classification</w:t>
            </w:r>
          </w:p>
        </w:tc>
        <w:tc>
          <w:tcPr>
            <w:tcW w:type="dxa" w:w="4320"/>
          </w:tcPr>
          <w:p>
            <w:r>
              <w:t>Internal</w:t>
            </w:r>
          </w:p>
        </w:tc>
      </w:tr>
    </w:tbl>
    <w:p/>
    <w:p>
      <w:pPr>
        <w:pStyle w:val="Heading1"/>
      </w:pPr>
      <w:r>
        <w:t>1. Introduction</w:t>
      </w:r>
    </w:p>
    <w:p>
      <w:r>
        <w:t>This assessment identifies the candidate solution building blocks that close the gaps between the Baseline Architecture (Decentralized User Management) and Target Architecture (Centralized User Management via Azure AD) plateaus, and groups them into the work packages sequenced in the Phase F Implementation and Migration Plan, per TOGAF Phase E guidance.</w:t>
      </w:r>
    </w:p>
    <w:p>
      <w:pPr>
        <w:pStyle w:val="Heading1"/>
      </w:pPr>
      <w:r>
        <w:t>2. Gap Summary</w:t>
      </w:r>
    </w:p>
    <w:tbl>
      <w:tblPr>
        <w:tblStyle w:val="TableGrid"/>
        <w:tblW w:type="auto" w:w="0"/>
        <w:tblLook w:firstColumn="1" w:firstRow="1" w:lastColumn="0" w:lastRow="0" w:noHBand="0" w:noVBand="1" w:val="04A0"/>
      </w:tblPr>
      <w:tblGrid>
        <w:gridCol w:w="4320"/>
        <w:gridCol w:w="4320"/>
      </w:tblGrid>
      <w:tr>
        <w:tc>
          <w:tcPr>
            <w:tcW w:type="dxa" w:w="4320"/>
          </w:tcPr>
          <w:p>
            <w:r>
              <w:rPr>
                <w:b/>
              </w:rPr>
              <w:t>Gap</w:t>
            </w:r>
          </w:p>
        </w:tc>
        <w:tc>
          <w:tcPr>
            <w:tcW w:type="dxa" w:w="4320"/>
          </w:tcPr>
          <w:p>
            <w:r>
              <w:rPr>
                <w:b/>
              </w:rPr>
              <w:t>Primarily Addressed By</w:t>
            </w:r>
          </w:p>
        </w:tc>
      </w:tr>
      <w:tr>
        <w:tc>
          <w:tcPr>
            <w:tcW w:type="dxa" w:w="4320"/>
          </w:tcPr>
          <w:p>
            <w:r>
              <w:t>Decentralized User Management Gap</w:t>
            </w:r>
          </w:p>
        </w:tc>
        <w:tc>
          <w:tcPr>
            <w:tcW w:type="dxa" w:w="4320"/>
          </w:tcPr>
          <w:p>
            <w:r>
              <w:t>Configure Azure AD as Corporate Identity Provider</w:t>
            </w:r>
          </w:p>
        </w:tc>
      </w:tr>
      <w:tr>
        <w:tc>
          <w:tcPr>
            <w:tcW w:type="dxa" w:w="4320"/>
          </w:tcPr>
          <w:p>
            <w:r>
              <w:t>Manual Provisioning Gap</w:t>
            </w:r>
          </w:p>
        </w:tc>
        <w:tc>
          <w:tcPr>
            <w:tcW w:type="dxa" w:w="4320"/>
          </w:tcPr>
          <w:p>
            <w:r>
              <w:t>Configure SCIM Provisioning to SAP S/4HANA Cloud; Configure SCIM Provisioning to SAP SuccessFactors</w:t>
            </w:r>
          </w:p>
        </w:tc>
      </w:tr>
      <w:tr>
        <w:tc>
          <w:tcPr>
            <w:tcW w:type="dxa" w:w="4320"/>
          </w:tcPr>
          <w:p>
            <w:r>
              <w:t>Inconsistent Access Governance Gap</w:t>
            </w:r>
          </w:p>
        </w:tc>
        <w:tc>
          <w:tcPr>
            <w:tcW w:type="dxa" w:w="4320"/>
          </w:tcPr>
          <w:p>
            <w:r>
              <w:t>Deploy SAP IAS Tenants (S/4HANA and SuccessFactors); Deploy SAP IPS Tenants (S/4HANA and SuccessFactors)</w:t>
            </w:r>
          </w:p>
        </w:tc>
      </w:tr>
    </w:tbl>
    <w:p/>
    <w:p>
      <w:pPr>
        <w:pStyle w:val="Heading1"/>
      </w:pPr>
      <w:r>
        <w:t>3. Candidate Solution Building Blocks</w:t>
      </w:r>
    </w:p>
    <w:p>
      <w:pPr>
        <w:pStyle w:val="ListBullet"/>
      </w:pPr>
      <w:r>
        <w:t>Azure Active Directory (Azure AD) – master identity provider closing the Decentralized User Management Gap.</w:t>
      </w:r>
    </w:p>
    <w:p>
      <w:pPr>
        <w:pStyle w:val="ListBullet"/>
      </w:pPr>
      <w:r>
        <w:t>SAP IAS - S/4HANA / SAP IAS - SuccessFactors – federated SSO tenants closing the Inconsistent Access Governance Gap.</w:t>
      </w:r>
    </w:p>
    <w:p>
      <w:pPr>
        <w:pStyle w:val="ListBullet"/>
      </w:pPr>
      <w:r>
        <w:t>SAP IPS - S/4HANA / SAP IPS - SuccessFactors – SCIM provisioning tenants closing the Manual Provisioning Gap.</w:t>
      </w:r>
    </w:p>
    <w:p>
      <w:pPr>
        <w:pStyle w:val="Heading1"/>
      </w:pPr>
      <w:r>
        <w:t>4. Opportunity-to-Work-Package Mapping</w:t>
      </w:r>
    </w:p>
    <w:tbl>
      <w:tblPr>
        <w:tblStyle w:val="TableGrid"/>
        <w:tblW w:type="auto" w:w="0"/>
        <w:tblLook w:firstColumn="1" w:firstRow="1" w:lastColumn="0" w:lastRow="0" w:noHBand="0" w:noVBand="1" w:val="04A0"/>
      </w:tblPr>
      <w:tblGrid>
        <w:gridCol w:w="4320"/>
        <w:gridCol w:w="4320"/>
      </w:tblGrid>
      <w:tr>
        <w:tc>
          <w:tcPr>
            <w:tcW w:type="dxa" w:w="4320"/>
          </w:tcPr>
          <w:p>
            <w:r>
              <w:rPr>
                <w:b/>
              </w:rPr>
              <w:t>Work Package</w:t>
            </w:r>
          </w:p>
        </w:tc>
        <w:tc>
          <w:tcPr>
            <w:tcW w:type="dxa" w:w="4320"/>
          </w:tcPr>
          <w:p>
            <w:r>
              <w:rPr>
                <w:b/>
              </w:rPr>
              <w:t>Opportunity Realized</w:t>
            </w:r>
          </w:p>
        </w:tc>
      </w:tr>
      <w:tr>
        <w:tc>
          <w:tcPr>
            <w:tcW w:type="dxa" w:w="4320"/>
          </w:tcPr>
          <w:p>
            <w:r>
              <w:t>Configure Azure AD as Corporate Identity Provider</w:t>
            </w:r>
          </w:p>
        </w:tc>
        <w:tc>
          <w:tcPr>
            <w:tcW w:type="dxa" w:w="4320"/>
          </w:tcPr>
          <w:p>
            <w:r>
              <w:t>Establishes the single master identity source</w:t>
            </w:r>
          </w:p>
        </w:tc>
      </w:tr>
      <w:tr>
        <w:tc>
          <w:tcPr>
            <w:tcW w:type="dxa" w:w="4320"/>
          </w:tcPr>
          <w:p>
            <w:r>
              <w:t>Deploy SAP IAS Tenants (S/4HANA and SuccessFactors)</w:t>
            </w:r>
          </w:p>
        </w:tc>
        <w:tc>
          <w:tcPr>
            <w:tcW w:type="dxa" w:w="4320"/>
          </w:tcPr>
          <w:p>
            <w:r>
              <w:t>Enables federated SSO across both landscapes</w:t>
            </w:r>
          </w:p>
        </w:tc>
      </w:tr>
      <w:tr>
        <w:tc>
          <w:tcPr>
            <w:tcW w:type="dxa" w:w="4320"/>
          </w:tcPr>
          <w:p>
            <w:r>
              <w:t>Deploy SAP IPS Tenants (S/4HANA and SuccessFactors)</w:t>
            </w:r>
          </w:p>
        </w:tc>
        <w:tc>
          <w:tcPr>
            <w:tcW w:type="dxa" w:w="4320"/>
          </w:tcPr>
          <w:p>
            <w:r>
              <w:t>Enables automated SCIM provisioning</w:t>
            </w:r>
          </w:p>
        </w:tc>
      </w:tr>
      <w:tr>
        <w:tc>
          <w:tcPr>
            <w:tcW w:type="dxa" w:w="4320"/>
          </w:tcPr>
          <w:p>
            <w:r>
              <w:t>Configure SCIM Provisioning to SAP S/4HANA Cloud</w:t>
            </w:r>
          </w:p>
        </w:tc>
        <w:tc>
          <w:tcPr>
            <w:tcW w:type="dxa" w:w="4320"/>
          </w:tcPr>
          <w:p>
            <w:r>
              <w:t>Automates S/4HANA Cloud account lifecycle</w:t>
            </w:r>
          </w:p>
        </w:tc>
      </w:tr>
      <w:tr>
        <w:tc>
          <w:tcPr>
            <w:tcW w:type="dxa" w:w="4320"/>
          </w:tcPr>
          <w:p>
            <w:r>
              <w:t>Configure SCIM Provisioning to SAP SuccessFactors</w:t>
            </w:r>
          </w:p>
        </w:tc>
        <w:tc>
          <w:tcPr>
            <w:tcW w:type="dxa" w:w="4320"/>
          </w:tcPr>
          <w:p>
            <w:r>
              <w:t>Automates SuccessFactors account lifecycle</w:t>
            </w:r>
          </w:p>
        </w:tc>
      </w:tr>
      <w:tr>
        <w:tc>
          <w:tcPr>
            <w:tcW w:type="dxa" w:w="4320"/>
          </w:tcPr>
          <w:p>
            <w:r>
              <w:t>Migrate Existing User Accounts</w:t>
            </w:r>
          </w:p>
        </w:tc>
        <w:tc>
          <w:tcPr>
            <w:tcW w:type="dxa" w:w="4320"/>
          </w:tcPr>
          <w:p>
            <w:r>
              <w:t>Converts existing local accounts to the federated model</w:t>
            </w:r>
          </w:p>
        </w:tc>
      </w:tr>
      <w:tr>
        <w:tc>
          <w:tcPr>
            <w:tcW w:type="dxa" w:w="4320"/>
          </w:tcPr>
          <w:p>
            <w:r>
              <w:t>Decommission Local User Stores</w:t>
            </w:r>
          </w:p>
        </w:tc>
        <w:tc>
          <w:tcPr>
            <w:tcW w:type="dxa" w:w="4320"/>
          </w:tcPr>
          <w:p>
            <w:r>
              <w:t>Retires the six legacy local identity stores</w:t>
            </w:r>
          </w:p>
        </w:tc>
      </w:tr>
      <w:tr>
        <w:tc>
          <w:tcPr>
            <w:tcW w:type="dxa" w:w="4320"/>
          </w:tcPr>
          <w:p>
            <w:r>
              <w:t>Testing and Validation (Development → Acceptance → Production)</w:t>
            </w:r>
          </w:p>
        </w:tc>
        <w:tc>
          <w:tcPr>
            <w:tcW w:type="dxa" w:w="4320"/>
          </w:tcPr>
          <w:p>
            <w:r>
              <w:t>Confirms the environment-isolation principle holds at every stage</w:t>
            </w:r>
          </w:p>
        </w:tc>
      </w:tr>
      <w:tr>
        <w:tc>
          <w:tcPr>
            <w:tcW w:type="dxa" w:w="4320"/>
          </w:tcPr>
          <w:p>
            <w:r>
              <w:t>Cutover and Hypercare</w:t>
            </w:r>
          </w:p>
        </w:tc>
        <w:tc>
          <w:tcPr>
            <w:tcW w:type="dxa" w:w="4320"/>
          </w:tcPr>
          <w:p>
            <w:r>
              <w:t>De-risks go-live and stabilizes the target state</w:t>
            </w:r>
          </w:p>
        </w:tc>
      </w:tr>
    </w:tbl>
    <w:p/>
    <w:p>
      <w:pPr>
        <w:pStyle w:val="Heading1"/>
      </w:pPr>
      <w:r>
        <w:t>5. Sequencing Rationale</w:t>
      </w:r>
    </w:p>
    <w:p>
      <w:r>
        <w:t>Work packages are sequenced by dependency: the identity source and federation tenants (Azure AD, SAP IAS, SAP IPS) must exist before SCIM provisioning can be configured; provisioning must be proven before existing accounts are migrated; migration must complete before legacy stores are decommissioned; and testing precedes cutover. This order is reflected directly in the Work Package list of the Phase F Implementation and Migration Plan.</w:t>
      </w:r>
    </w:p>
    <w:p>
      <w:pPr>
        <w:pStyle w:val="Heading1"/>
      </w:pPr>
      <w:r>
        <w:t>6. Risks Carried Forward</w:t>
      </w:r>
    </w:p>
    <w:p>
      <w:pPr>
        <w:pStyle w:val="ListBullet"/>
      </w:pPr>
      <w:r>
        <w:t>Risk: Incomplete or Inaccurate Azure AD Attribute Data</w:t>
      </w:r>
    </w:p>
    <w:p>
      <w:pPr>
        <w:pStyle w:val="ListBullet"/>
      </w:pPr>
      <w:r>
        <w:t>Risk: SCIM Mapping Errors Between Azure AD and SAP Fields</w:t>
      </w:r>
    </w:p>
    <w:p>
      <w:pPr>
        <w:pStyle w:val="ListBullet"/>
      </w:pPr>
      <w:r>
        <w:t>Risk: Parallel-Run Complexity During Cutover</w:t>
      </w:r>
    </w:p>
    <w:p>
      <w:pPr>
        <w:pStyle w:val="ListBullet"/>
      </w:pPr>
      <w:r>
        <w:t>Risk: Fixed Compliance Deadline Overrun</w:t>
      </w:r>
    </w:p>
    <w:p>
      <w:pPr>
        <w:pStyle w:val="Heading1"/>
      </w:pPr>
      <w:r>
        <w:t>7. Next Steps</w:t>
      </w:r>
    </w:p>
    <w:p>
      <w:r>
        <w:t>Approved opportunities proceed to detailed work package planning and sequencing in the Phase F Implementation and Migration Plan.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