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SAP RISE with SAP S/4HANA Cloud</w:t>
      </w:r>
    </w:p>
    <w:p>
      <w:r>
        <w:rPr>
          <w:b/>
          <w:sz w:val="56"/>
        </w:rPr>
        <w:t>Architecture Principles</w:t>
      </w:r>
    </w:p>
    <w:p>
      <w:r>
        <w:rPr>
          <w:i/>
          <w:sz w:val="28"/>
        </w:rPr>
        <w:t>Centralized Identity &amp; Access Management – TOGAF Preliminary Phase</w:t>
      </w:r>
    </w:p>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Programme</w:t>
            </w:r>
          </w:p>
        </w:tc>
        <w:tc>
          <w:tcPr>
            <w:tcW w:type="dxa" w:w="4320"/>
          </w:tcPr>
          <w:p>
            <w:r>
              <w:t>SAP RISE with SAP S/4HANA Cloud – Enterprise Transformation</w:t>
            </w:r>
          </w:p>
        </w:tc>
      </w:tr>
      <w:tr>
        <w:tc>
          <w:tcPr>
            <w:tcW w:type="dxa" w:w="4320"/>
          </w:tcPr>
          <w:p>
            <w:r>
              <w:t>TOGAF ADM Phase</w:t>
            </w:r>
          </w:p>
        </w:tc>
        <w:tc>
          <w:tcPr>
            <w:tcW w:type="dxa" w:w="4320"/>
          </w:tcPr>
          <w:p>
            <w:r>
              <w:t>Preliminary Phase</w:t>
            </w:r>
          </w:p>
        </w:tc>
      </w:tr>
      <w:tr>
        <w:tc>
          <w:tcPr>
            <w:tcW w:type="dxa" w:w="4320"/>
          </w:tcPr>
          <w:p>
            <w:r>
              <w:t>Architecture Repository</w:t>
            </w:r>
          </w:p>
        </w:tc>
        <w:tc>
          <w:tcPr>
            <w:tcW w:type="dxa" w:w="4320"/>
          </w:tcPr>
          <w:p>
            <w:r>
              <w:t>SAP Centralized IAM Repository (ArchiMate 3.x model)</w:t>
            </w:r>
          </w:p>
        </w:tc>
      </w:tr>
      <w:tr>
        <w:tc>
          <w:tcPr>
            <w:tcW w:type="dxa" w:w="4320"/>
          </w:tcPr>
          <w:p>
            <w:r>
              <w:t>Document Status</w:t>
            </w:r>
          </w:p>
        </w:tc>
        <w:tc>
          <w:tcPr>
            <w:tcW w:type="dxa" w:w="4320"/>
          </w:tcPr>
          <w:p>
            <w:r>
              <w:t>Draft for Review</w:t>
            </w:r>
          </w:p>
        </w:tc>
      </w:tr>
      <w:tr>
        <w:tc>
          <w:tcPr>
            <w:tcW w:type="dxa" w:w="4320"/>
          </w:tcPr>
          <w:p>
            <w:r>
              <w:t>Version</w:t>
            </w:r>
          </w:p>
        </w:tc>
        <w:tc>
          <w:tcPr>
            <w:tcW w:type="dxa" w:w="4320"/>
          </w:tcPr>
          <w:p>
            <w:r>
              <w:t>0.1</w:t>
            </w:r>
          </w:p>
        </w:tc>
      </w:tr>
      <w:tr>
        <w:tc>
          <w:tcPr>
            <w:tcW w:type="dxa" w:w="4320"/>
          </w:tcPr>
          <w:p>
            <w:r>
              <w:t>Date</w:t>
            </w:r>
          </w:p>
        </w:tc>
        <w:tc>
          <w:tcPr>
            <w:tcW w:type="dxa" w:w="4320"/>
          </w:tcPr>
          <w:p>
            <w:r>
              <w:t>2026-08-14</w:t>
            </w:r>
          </w:p>
        </w:tc>
      </w:tr>
      <w:tr>
        <w:tc>
          <w:tcPr>
            <w:tcW w:type="dxa" w:w="4320"/>
          </w:tcPr>
          <w:p>
            <w:r>
              <w:t>Prepared By</w:t>
            </w:r>
          </w:p>
        </w:tc>
        <w:tc>
          <w:tcPr>
            <w:tcW w:type="dxa" w:w="4320"/>
          </w:tcPr>
          <w:p>
            <w:r>
              <w:t>Enterprise Architecture Team</w:t>
            </w:r>
          </w:p>
        </w:tc>
      </w:tr>
      <w:tr>
        <w:tc>
          <w:tcPr>
            <w:tcW w:type="dxa" w:w="4320"/>
          </w:tcPr>
          <w:p>
            <w:r>
              <w:t>Classification</w:t>
            </w:r>
          </w:p>
        </w:tc>
        <w:tc>
          <w:tcPr>
            <w:tcW w:type="dxa" w:w="4320"/>
          </w:tcPr>
          <w:p>
            <w:r>
              <w:t>Internal</w:t>
            </w:r>
          </w:p>
        </w:tc>
      </w:tr>
    </w:tbl>
    <w:p/>
    <w:p>
      <w:pPr>
        <w:pStyle w:val="Heading1"/>
      </w:pPr>
      <w:r>
        <w:t>1. Introduction</w:t>
      </w:r>
    </w:p>
    <w:p>
      <w:r>
        <w:t>Section 8 of the Architecture Vision lists the four architecture principles governing the Centralized Identity &amp; Access Management (IAM) design. This document formalizes those principles into a governed catalog – stating each principle's rationale, implications, and the driver(s) it supports – per TOGAF Preliminary Phase guidance to establish principles before Phase A elaboration begins. Every principle below has a corresponding Principle element in the SAP Centralized IAM Repository.</w:t>
      </w:r>
    </w:p>
    <w:p>
      <w:pPr>
        <w:pStyle w:val="Heading1"/>
      </w:pPr>
      <w:r>
        <w:t>2. Principle Catalog</w:t>
      </w:r>
    </w:p>
    <w:p>
      <w:pPr>
        <w:pStyle w:val="Heading2"/>
      </w:pPr>
      <w:r>
        <w:t>2.1 Azure AD is the Single Master Source of Identity</w:t>
      </w:r>
    </w:p>
    <w:p>
      <w:r>
        <w:t>Statement: Azure Active Directory is the single, authoritative source of identity for every person represented in the SAP landscape. No SAP system may originate or independently maintain identity attributes.</w:t>
      </w:r>
    </w:p>
    <w:p>
      <w:r>
        <w:t>Rationale: SAP S/4HANA Cloud and SAP SuccessFactors each currently maintain local user stores across their Development, Acceptance, and Production stages – six separate points of identity truth. This fragmentation is the root cause captured in the “Decentralized User Management Gap.”</w:t>
      </w:r>
    </w:p>
    <w:p>
      <w:r>
        <w:t>Implications:</w:t>
      </w:r>
    </w:p>
    <w:p>
      <w:pPr>
        <w:pStyle w:val="ListBullet"/>
      </w:pPr>
      <w:r>
        <w:t>SAP systems consume identity attributes; they do not own or edit them.</w:t>
      </w:r>
    </w:p>
    <w:p>
      <w:pPr>
        <w:pStyle w:val="ListBullet"/>
      </w:pPr>
      <w:r>
        <w:t>Any identity attribute correction happens in Azure AD and flows downstream via SCIM.</w:t>
      </w:r>
    </w:p>
    <w:p>
      <w:pPr>
        <w:pStyle w:val="ListBullet"/>
      </w:pPr>
      <w:r>
        <w:t>The “User Identity Record” data object is sourced exclusively from Azure AD.</w:t>
      </w:r>
    </w:p>
    <w:p>
      <w:pPr>
        <w:pStyle w:val="Heading2"/>
      </w:pPr>
      <w:r>
        <w:t>2.2 Provisioning is Automated, Not Manual</w:t>
      </w:r>
    </w:p>
    <w:p>
      <w:r>
        <w:t>Statement: User accounts in every target SAP system are created, updated, and deactivated automatically from Azure AD; manual account administration is the exception, not the norm.</w:t>
      </w:r>
    </w:p>
    <w:p>
      <w:r>
        <w:t>Rationale: Directly supports the driver “Reduce Manual User Administration Effort” and the goal “Automate User Provisioning to the SAP Landscape.”</w:t>
      </w:r>
    </w:p>
    <w:p>
      <w:r>
        <w:t>Implications:</w:t>
      </w:r>
    </w:p>
    <w:p>
      <w:pPr>
        <w:pStyle w:val="ListBullet"/>
      </w:pPr>
      <w:r>
        <w:t>SAP IPS performs SCIM-based provisioning into S/4HANA Cloud and SuccessFactors.</w:t>
      </w:r>
    </w:p>
    <w:p>
      <w:pPr>
        <w:pStyle w:val="ListBullet"/>
      </w:pPr>
      <w:r>
        <w:t>The Joiner, Mover, and Leaver Processes trigger automatically from Azure AD identity lifecycle events.</w:t>
      </w:r>
    </w:p>
    <w:p>
      <w:pPr>
        <w:pStyle w:val="ListBullet"/>
      </w:pPr>
      <w:r>
        <w:t>Manual exceptions are limited to the Access Request and Approval Process for ad-hoc, non-standard access.</w:t>
      </w:r>
    </w:p>
    <w:p>
      <w:pPr>
        <w:pStyle w:val="Heading2"/>
      </w:pPr>
      <w:r>
        <w:t>2.3 Environments Remain Isolated (Development / Acceptance / Production)</w:t>
      </w:r>
    </w:p>
    <w:p>
      <w:r>
        <w:t>Statement: Identity data for each landscape stage – Development, Acceptance, and Production – is provisioned and managed independently; no attribute flow crosses stage boundaries.</w:t>
      </w:r>
    </w:p>
    <w:p>
      <w:r>
        <w:t>Rationale: Prevents non-production test data or access from reaching production, and protects production identity data from exposure in lower environments.</w:t>
      </w:r>
    </w:p>
    <w:p>
      <w:r>
        <w:t>Implications:</w:t>
      </w:r>
    </w:p>
    <w:p>
      <w:pPr>
        <w:pStyle w:val="ListBullet"/>
      </w:pPr>
      <w:r>
        <w:t>Separate SAP IAS and SAP IPS tenants exist per stage for both S/4HANA Cloud and SuccessFactors (six tenants in total).</w:t>
      </w:r>
    </w:p>
    <w:p>
      <w:pPr>
        <w:pStyle w:val="ListBullet"/>
      </w:pPr>
      <w:r>
        <w:t>Also captured directly as a Requirement (“System shall maintain identity isolation per landscape stage”) and a Constraint (“Production Identity Data May Not Flow to Non-Production Environments”).</w:t>
      </w:r>
    </w:p>
    <w:p>
      <w:pPr>
        <w:pStyle w:val="Heading2"/>
      </w:pPr>
      <w:r>
        <w:t>2.4 Federate Authentication – Do Not Replicate Passwords</w:t>
      </w:r>
    </w:p>
    <w:p>
      <w:r>
        <w:t>Statement: Authentication is federated to Azure AD via Single Sign-On; no SAP system stores or validates a replicated password.</w:t>
      </w:r>
    </w:p>
    <w:p>
      <w:r>
        <w:t>Rationale: Supports the driver “Improve Security Posture and Reduce Attack Surface” by eliminating duplicate credential stores as an attack vector.</w:t>
      </w:r>
    </w:p>
    <w:p>
      <w:r>
        <w:t>Implications:</w:t>
      </w:r>
    </w:p>
    <w:p>
      <w:pPr>
        <w:pStyle w:val="ListBullet"/>
      </w:pPr>
      <w:r>
        <w:t>SAP IAS provides SSO for every in-scope application; local SAP logon is disabled where SSO is available.</w:t>
      </w:r>
    </w:p>
    <w:p>
      <w:pPr>
        <w:pStyle w:val="ListBullet"/>
      </w:pPr>
      <w:r>
        <w:t>No password synchronization job may be introduced between Azure AD and any SAP system.</w:t>
      </w:r>
    </w:p>
    <w:p>
      <w:pPr>
        <w:pStyle w:val="Heading1"/>
      </w:pPr>
      <w:r>
        <w:t>3. Principle-to-Driver Traceability</w:t>
      </w:r>
    </w:p>
    <w:tbl>
      <w:tblPr>
        <w:tblStyle w:val="TableGrid"/>
        <w:tblW w:type="auto" w:w="0"/>
        <w:tblLook w:firstColumn="1" w:firstRow="1" w:lastColumn="0" w:lastRow="0" w:noHBand="0" w:noVBand="1" w:val="04A0"/>
      </w:tblPr>
      <w:tblGrid>
        <w:gridCol w:w="4320"/>
        <w:gridCol w:w="4320"/>
      </w:tblGrid>
      <w:tr>
        <w:tc>
          <w:tcPr>
            <w:tcW w:type="dxa" w:w="4320"/>
          </w:tcPr>
          <w:p>
            <w:r>
              <w:rPr>
                <w:b/>
              </w:rPr>
              <w:t>Principle</w:t>
            </w:r>
          </w:p>
        </w:tc>
        <w:tc>
          <w:tcPr>
            <w:tcW w:type="dxa" w:w="4320"/>
          </w:tcPr>
          <w:p>
            <w:r>
              <w:rPr>
                <w:b/>
              </w:rPr>
              <w:t>Driver(s) Supported</w:t>
            </w:r>
          </w:p>
        </w:tc>
      </w:tr>
      <w:tr>
        <w:tc>
          <w:tcPr>
            <w:tcW w:type="dxa" w:w="4320"/>
          </w:tcPr>
          <w:p>
            <w:r>
              <w:t>Azure AD is the Single Master Source of Identity</w:t>
            </w:r>
          </w:p>
        </w:tc>
        <w:tc>
          <w:tcPr>
            <w:tcW w:type="dxa" w:w="4320"/>
          </w:tcPr>
          <w:p>
            <w:r>
              <w:t>Reduce Identity Sprawl Across the SAP Landscape</w:t>
            </w:r>
          </w:p>
        </w:tc>
      </w:tr>
      <w:tr>
        <w:tc>
          <w:tcPr>
            <w:tcW w:type="dxa" w:w="4320"/>
          </w:tcPr>
          <w:p>
            <w:r>
              <w:t>Provisioning is Automated, Not Manual</w:t>
            </w:r>
          </w:p>
        </w:tc>
        <w:tc>
          <w:tcPr>
            <w:tcW w:type="dxa" w:w="4320"/>
          </w:tcPr>
          <w:p>
            <w:r>
              <w:t>Reduce Manual User Administration Effort; Enable Automated Joiner-Mover-Leaver Process</w:t>
            </w:r>
          </w:p>
        </w:tc>
      </w:tr>
      <w:tr>
        <w:tc>
          <w:tcPr>
            <w:tcW w:type="dxa" w:w="4320"/>
          </w:tcPr>
          <w:p>
            <w:r>
              <w:t>Environments Remain Isolated</w:t>
            </w:r>
          </w:p>
        </w:tc>
        <w:tc>
          <w:tcPr>
            <w:tcW w:type="dxa" w:w="4320"/>
          </w:tcPr>
          <w:p>
            <w:r>
              <w:t>Ensure Compliance with Access Governance Policy</w:t>
            </w:r>
          </w:p>
        </w:tc>
      </w:tr>
      <w:tr>
        <w:tc>
          <w:tcPr>
            <w:tcW w:type="dxa" w:w="4320"/>
          </w:tcPr>
          <w:p>
            <w:r>
              <w:t>Federate Authentication – Do Not Replicate Passwords</w:t>
            </w:r>
          </w:p>
        </w:tc>
        <w:tc>
          <w:tcPr>
            <w:tcW w:type="dxa" w:w="4320"/>
          </w:tcPr>
          <w:p>
            <w:r>
              <w:t>Improve Security Posture and Reduce Attack Surface</w:t>
            </w:r>
          </w:p>
        </w:tc>
      </w:tr>
    </w:tbl>
    <w:p/>
    <w:p>
      <w:pPr>
        <w:pStyle w:val="Heading1"/>
      </w:pPr>
      <w:r>
        <w:t>4. Governance</w:t>
      </w:r>
    </w:p>
    <w:p>
      <w:r>
        <w:t>Compliance with these principles is reviewed by the Architecture Review Board before each Work Package in the Implementation and Migration Plan is approved for build. Any proposed exception is logged and tracked against the “Inconsistent Access Governance Gap” until resolved or formally accepted as a residual risk.</w:t>
      </w:r>
    </w:p>
    <w:p>
      <w:pPr>
        <w:pStyle w:val="Heading1"/>
      </w:pPr>
      <w:r>
        <w:t>5. Next Steps</w:t>
      </w:r>
    </w:p>
    <w:p>
      <w:r>
        <w:t>These principles carry forward unchanged into Phase A (Architecture Vision) and are re-validated at each subsequent phase gate through Phase 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