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Opportunities &amp; Solutions Assessment</w:t>
      </w:r>
    </w:p>
    <w:p>
      <w:r>
        <w:rPr>
          <w:i/>
          <w:sz w:val="28"/>
        </w:rPr>
        <w:t>TOGAF ADM Phase E – SAP Enterprise Repository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E - Opportunities and Solutions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Enterprise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assessment identifies the candidate solution building blocks and courses of action that close the seven gaps identified between the Baseline Architecture (Legacy ERP) and Target Architecture (SAP RISE with S/4HANA Cloud), and groups them into the 16 work packages sequenced across the transition plateaus, per TOGAF Phase E guidance.</w:t>
      </w:r>
    </w:p>
    <w:p>
      <w:pPr>
        <w:pStyle w:val="Heading1"/>
      </w:pPr>
      <w:r>
        <w:t>2. Gap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Primarily Addressed By</w:t>
            </w:r>
          </w:p>
        </w:tc>
      </w:tr>
      <w:tr>
        <w:tc>
          <w:tcPr>
            <w:tcW w:type="dxa" w:w="4320"/>
          </w:tcPr>
          <w:p>
            <w:r>
              <w:t>Legacy ERP Decommissioning Gap</w:t>
            </w:r>
          </w:p>
        </w:tc>
        <w:tc>
          <w:tcPr>
            <w:tcW w:type="dxa" w:w="4320"/>
          </w:tcPr>
          <w:p>
            <w:r>
              <w:t>Legacy Decommissioning Work Package</w:t>
            </w:r>
          </w:p>
        </w:tc>
      </w:tr>
      <w:tr>
        <w:tc>
          <w:tcPr>
            <w:tcW w:type="dxa" w:w="4320"/>
          </w:tcPr>
          <w:p>
            <w:r>
              <w:t>Process Standardization Gap</w:t>
            </w:r>
          </w:p>
        </w:tc>
        <w:tc>
          <w:tcPr>
            <w:tcW w:type="dxa" w:w="4320"/>
          </w:tcPr>
          <w:p>
            <w:r>
              <w:t>Phase B - Business Architecture Work Package</w:t>
            </w:r>
          </w:p>
        </w:tc>
      </w:tr>
      <w:tr>
        <w:tc>
          <w:tcPr>
            <w:tcW w:type="dxa" w:w="4320"/>
          </w:tcPr>
          <w:p>
            <w:r>
              <w:t>Integration Coverage Gap</w:t>
            </w:r>
          </w:p>
        </w:tc>
        <w:tc>
          <w:tcPr>
            <w:tcW w:type="dxa" w:w="4320"/>
          </w:tcPr>
          <w:p>
            <w:r>
              <w:t>Integration Build Work Package</w:t>
            </w:r>
          </w:p>
        </w:tc>
      </w:tr>
      <w:tr>
        <w:tc>
          <w:tcPr>
            <w:tcW w:type="dxa" w:w="4320"/>
          </w:tcPr>
          <w:p>
            <w:r>
              <w:t>Data Quality Gap</w:t>
            </w:r>
          </w:p>
        </w:tc>
        <w:tc>
          <w:tcPr>
            <w:tcW w:type="dxa" w:w="4320"/>
          </w:tcPr>
          <w:p>
            <w:r>
              <w:t>Data Migration Work Package</w:t>
            </w:r>
          </w:p>
        </w:tc>
      </w:tr>
      <w:tr>
        <w:tc>
          <w:tcPr>
            <w:tcW w:type="dxa" w:w="4320"/>
          </w:tcPr>
          <w:p>
            <w:r>
              <w:t>Skills &amp; Capability Gap</w:t>
            </w:r>
          </w:p>
        </w:tc>
        <w:tc>
          <w:tcPr>
            <w:tcW w:type="dxa" w:w="4320"/>
          </w:tcPr>
          <w:p>
            <w:r>
              <w:t>Training &amp; Enablement Work Package</w:t>
            </w:r>
          </w:p>
        </w:tc>
      </w:tr>
      <w:tr>
        <w:tc>
          <w:tcPr>
            <w:tcW w:type="dxa" w:w="4320"/>
          </w:tcPr>
          <w:p>
            <w:r>
              <w:t>Reporting &amp; Analytics Gap</w:t>
            </w:r>
          </w:p>
        </w:tc>
        <w:tc>
          <w:tcPr>
            <w:tcW w:type="dxa" w:w="4320"/>
          </w:tcPr>
          <w:p>
            <w:r>
              <w:t>Phase E - Opportunities &amp; Solutions Work Package</w:t>
            </w:r>
          </w:p>
        </w:tc>
      </w:tr>
      <w:tr>
        <w:tc>
          <w:tcPr>
            <w:tcW w:type="dxa" w:w="4320"/>
          </w:tcPr>
          <w:p>
            <w:r>
              <w:t>Security &amp; Compliance Gap</w:t>
            </w:r>
          </w:p>
        </w:tc>
        <w:tc>
          <w:tcPr>
            <w:tcW w:type="dxa" w:w="4320"/>
          </w:tcPr>
          <w:p>
            <w:r>
              <w:t>Phase G - Implementation Governance Work Package</w:t>
            </w:r>
          </w:p>
        </w:tc>
      </w:tr>
    </w:tbl>
    <w:p/>
    <w:p>
      <w:pPr>
        <w:pStyle w:val="Heading1"/>
      </w:pPr>
      <w:r>
        <w:t>3. Candidate Solution Building Blocks (by Course of Action)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Course of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Enabling Solution Building Block(s)</w:t>
            </w:r>
          </w:p>
        </w:tc>
      </w:tr>
      <w:tr>
        <w:tc>
          <w:tcPr>
            <w:tcW w:type="dxa" w:w="4320"/>
          </w:tcPr>
          <w:p>
            <w:r>
              <w:t>Adopt Clean Core Principles</w:t>
            </w:r>
          </w:p>
        </w:tc>
        <w:tc>
          <w:tcPr>
            <w:tcW w:type="dxa" w:w="4320"/>
          </w:tcPr>
          <w:p>
            <w:r>
              <w:t>SAP S/4HANA Cloud; SAP BTP Extension Factory</w:t>
            </w:r>
          </w:p>
        </w:tc>
      </w:tr>
      <w:tr>
        <w:tc>
          <w:tcPr>
            <w:tcW w:type="dxa" w:w="4320"/>
          </w:tcPr>
          <w:p>
            <w:r>
              <w:t>Consolidate Regional ERP Instances</w:t>
            </w:r>
          </w:p>
        </w:tc>
        <w:tc>
          <w:tcPr>
            <w:tcW w:type="dxa" w:w="4320"/>
          </w:tcPr>
          <w:p>
            <w:r>
              <w:t>SAP S/4HANA Cloud; SAP Master Data Integration</w:t>
            </w:r>
          </w:p>
        </w:tc>
      </w:tr>
      <w:tr>
        <w:tc>
          <w:tcPr>
            <w:tcW w:type="dxa" w:w="4320"/>
          </w:tcPr>
          <w:p>
            <w:r>
              <w:t>Move to RISE with SAP Public Cloud</w:t>
            </w:r>
          </w:p>
        </w:tc>
        <w:tc>
          <w:tcPr>
            <w:tcW w:type="dxa" w:w="4320"/>
          </w:tcPr>
          <w:p>
            <w:r>
              <w:t>SAP S/4HANA Cloud Runtime (Hyperscaler); SAP HANA Cloud</w:t>
            </w:r>
          </w:p>
        </w:tc>
      </w:tr>
      <w:tr>
        <w:tc>
          <w:tcPr>
            <w:tcW w:type="dxa" w:w="4320"/>
          </w:tcPr>
          <w:p>
            <w:r>
              <w:t>Rationalize Custom Code (Z-objects)</w:t>
            </w:r>
          </w:p>
        </w:tc>
        <w:tc>
          <w:tcPr>
            <w:tcW w:type="dxa" w:w="4320"/>
          </w:tcPr>
          <w:p>
            <w:r>
              <w:t>SAP Cloud ALM; SAP Business Application Studio</w:t>
            </w:r>
          </w:p>
        </w:tc>
      </w:tr>
      <w:tr>
        <w:tc>
          <w:tcPr>
            <w:tcW w:type="dxa" w:w="4320"/>
          </w:tcPr>
          <w:p>
            <w:r>
              <w:t>Standardize on SAP BTP for Extensions</w:t>
            </w:r>
          </w:p>
        </w:tc>
        <w:tc>
          <w:tcPr>
            <w:tcW w:type="dxa" w:w="4320"/>
          </w:tcPr>
          <w:p>
            <w:r>
              <w:t>SAP BTP; SAP Build Apps; SAP Build Process Automation</w:t>
            </w:r>
          </w:p>
        </w:tc>
      </w:tr>
      <w:tr>
        <w:tc>
          <w:tcPr>
            <w:tcW w:type="dxa" w:w="4320"/>
          </w:tcPr>
          <w:p>
            <w:r>
              <w:t>Establish API-First Integration Strategy</w:t>
            </w:r>
          </w:p>
        </w:tc>
        <w:tc>
          <w:tcPr>
            <w:tcW w:type="dxa" w:w="4320"/>
          </w:tcPr>
          <w:p>
            <w:r>
              <w:t>SAP Integration Suite; SAP Event Mesh; SAP CPI</w:t>
            </w:r>
          </w:p>
        </w:tc>
      </w:tr>
      <w:tr>
        <w:tc>
          <w:tcPr>
            <w:tcW w:type="dxa" w:w="4320"/>
          </w:tcPr>
          <w:p>
            <w:r>
              <w:t>Centralize Master Data Governance</w:t>
            </w:r>
          </w:p>
        </w:tc>
        <w:tc>
          <w:tcPr>
            <w:tcW w:type="dxa" w:w="4320"/>
          </w:tcPr>
          <w:p>
            <w:r>
              <w:t>SAP MDG; SAP Master Data Integration</w:t>
            </w:r>
          </w:p>
        </w:tc>
      </w:tr>
      <w:tr>
        <w:tc>
          <w:tcPr>
            <w:tcW w:type="dxa" w:w="4320"/>
          </w:tcPr>
          <w:p>
            <w:r>
              <w:t>Adopt Continuous Release Management</w:t>
            </w:r>
          </w:p>
        </w:tc>
        <w:tc>
          <w:tcPr>
            <w:tcW w:type="dxa" w:w="4320"/>
          </w:tcPr>
          <w:p>
            <w:r>
              <w:t>SAP Cloud ALM; CI/CD Build Server</w:t>
            </w:r>
          </w:p>
        </w:tc>
      </w:tr>
    </w:tbl>
    <w:p/>
    <w:p>
      <w:pPr>
        <w:pStyle w:val="Heading1"/>
      </w:pPr>
      <w:r>
        <w:t>4. Opportunity-to-Work-Package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Opportunity Realized</w:t>
            </w:r>
          </w:p>
        </w:tc>
      </w:tr>
      <w:tr>
        <w:tc>
          <w:tcPr>
            <w:tcW w:type="dxa" w:w="4320"/>
          </w:tcPr>
          <w:p>
            <w:r>
              <w:t>Phase A - Architecture Vision Work Package</w:t>
            </w:r>
          </w:p>
        </w:tc>
        <w:tc>
          <w:tcPr>
            <w:tcW w:type="dxa" w:w="4320"/>
          </w:tcPr>
          <w:p>
            <w:r>
              <w:t>Confirms scope, stakeholders, and target capabilities</w:t>
            </w:r>
          </w:p>
        </w:tc>
      </w:tr>
      <w:tr>
        <w:tc>
          <w:tcPr>
            <w:tcW w:type="dxa" w:w="4320"/>
          </w:tcPr>
          <w:p>
            <w:r>
              <w:t>Phase B - Business Architecture Work Package</w:t>
            </w:r>
          </w:p>
        </w:tc>
        <w:tc>
          <w:tcPr>
            <w:tcW w:type="dxa" w:w="4320"/>
          </w:tcPr>
          <w:p>
            <w:r>
              <w:t>Standardizes global business processes</w:t>
            </w:r>
          </w:p>
        </w:tc>
      </w:tr>
      <w:tr>
        <w:tc>
          <w:tcPr>
            <w:tcW w:type="dxa" w:w="4320"/>
          </w:tcPr>
          <w:p>
            <w:r>
              <w:t>Phase C - Data Architecture Work Package</w:t>
            </w:r>
          </w:p>
        </w:tc>
        <w:tc>
          <w:tcPr>
            <w:tcW w:type="dxa" w:w="4320"/>
          </w:tcPr>
          <w:p>
            <w:r>
              <w:t>Defines target data objects and quality rules</w:t>
            </w:r>
          </w:p>
        </w:tc>
      </w:tr>
      <w:tr>
        <w:tc>
          <w:tcPr>
            <w:tcW w:type="dxa" w:w="4320"/>
          </w:tcPr>
          <w:p>
            <w:r>
              <w:t>Phase C - Application Architecture Work Package</w:t>
            </w:r>
          </w:p>
        </w:tc>
        <w:tc>
          <w:tcPr>
            <w:tcW w:type="dxa" w:w="4320"/>
          </w:tcPr>
          <w:p>
            <w:r>
              <w:t>Confirms target application landscape</w:t>
            </w:r>
          </w:p>
        </w:tc>
      </w:tr>
      <w:tr>
        <w:tc>
          <w:tcPr>
            <w:tcW w:type="dxa" w:w="4320"/>
          </w:tcPr>
          <w:p>
            <w:r>
              <w:t>Phase D - Technology Architecture Work Package</w:t>
            </w:r>
          </w:p>
        </w:tc>
        <w:tc>
          <w:tcPr>
            <w:tcW w:type="dxa" w:w="4320"/>
          </w:tcPr>
          <w:p>
            <w:r>
              <w:t>Confirms target infrastructure and hosting</w:t>
            </w:r>
          </w:p>
        </w:tc>
      </w:tr>
      <w:tr>
        <w:tc>
          <w:tcPr>
            <w:tcW w:type="dxa" w:w="4320"/>
          </w:tcPr>
          <w:p>
            <w:r>
              <w:t>Phase E - Opportunities &amp; Solutions Work Package</w:t>
            </w:r>
          </w:p>
        </w:tc>
        <w:tc>
          <w:tcPr>
            <w:tcW w:type="dxa" w:w="4320"/>
          </w:tcPr>
          <w:p>
            <w:r>
              <w:t>Finalizes this assessment and the transition roadmap</w:t>
            </w:r>
          </w:p>
        </w:tc>
      </w:tr>
      <w:tr>
        <w:tc>
          <w:tcPr>
            <w:tcW w:type="dxa" w:w="4320"/>
          </w:tcPr>
          <w:p>
            <w:r>
              <w:t>Phase F - Migration Planning Work Package</w:t>
            </w:r>
          </w:p>
        </w:tc>
        <w:tc>
          <w:tcPr>
            <w:tcW w:type="dxa" w:w="4320"/>
          </w:tcPr>
          <w:p>
            <w:r>
              <w:t>Sequences all work packages into the Migration Roadmap</w:t>
            </w:r>
          </w:p>
        </w:tc>
      </w:tr>
      <w:tr>
        <w:tc>
          <w:tcPr>
            <w:tcW w:type="dxa" w:w="4320"/>
          </w:tcPr>
          <w:p>
            <w:r>
              <w:t>Phase G - Implementation Governance Work Package</w:t>
            </w:r>
          </w:p>
        </w:tc>
        <w:tc>
          <w:tcPr>
            <w:tcW w:type="dxa" w:w="4320"/>
          </w:tcPr>
          <w:p>
            <w:r>
              <w:t>Establishes compliance and governance controls</w:t>
            </w:r>
          </w:p>
        </w:tc>
      </w:tr>
      <w:tr>
        <w:tc>
          <w:tcPr>
            <w:tcW w:type="dxa" w:w="4320"/>
          </w:tcPr>
          <w:p>
            <w:r>
              <w:t>Data Migration Work Package</w:t>
            </w:r>
          </w:p>
        </w:tc>
        <w:tc>
          <w:tcPr>
            <w:tcW w:type="dxa" w:w="4320"/>
          </w:tcPr>
          <w:p>
            <w:r>
              <w:t>Closes the Data Quality Gap</w:t>
            </w:r>
          </w:p>
        </w:tc>
      </w:tr>
      <w:tr>
        <w:tc>
          <w:tcPr>
            <w:tcW w:type="dxa" w:w="4320"/>
          </w:tcPr>
          <w:p>
            <w:r>
              <w:t>Integration Build Work Package</w:t>
            </w:r>
          </w:p>
        </w:tc>
        <w:tc>
          <w:tcPr>
            <w:tcW w:type="dxa" w:w="4320"/>
          </w:tcPr>
          <w:p>
            <w:r>
              <w:t>Closes the Integration Coverage Gap</w:t>
            </w:r>
          </w:p>
        </w:tc>
      </w:tr>
      <w:tr>
        <w:tc>
          <w:tcPr>
            <w:tcW w:type="dxa" w:w="4320"/>
          </w:tcPr>
          <w:p>
            <w:r>
              <w:t>Custom Code Remediation Work Package</w:t>
            </w:r>
          </w:p>
        </w:tc>
        <w:tc>
          <w:tcPr>
            <w:tcW w:type="dxa" w:w="4320"/>
          </w:tcPr>
          <w:p>
            <w:r>
              <w:t>Closes the Legacy ERP Decommissioning Gap</w:t>
            </w:r>
          </w:p>
        </w:tc>
      </w:tr>
      <w:tr>
        <w:tc>
          <w:tcPr>
            <w:tcW w:type="dxa" w:w="4320"/>
          </w:tcPr>
          <w:p>
            <w:r>
              <w:t>Cutover &amp; Hypercare Work Package</w:t>
            </w:r>
          </w:p>
        </w:tc>
        <w:tc>
          <w:tcPr>
            <w:tcW w:type="dxa" w:w="4320"/>
          </w:tcPr>
          <w:p>
            <w:r>
              <w:t>De-risks go-live and stabilizes each transition plateau</w:t>
            </w:r>
          </w:p>
        </w:tc>
      </w:tr>
      <w:tr>
        <w:tc>
          <w:tcPr>
            <w:tcW w:type="dxa" w:w="4320"/>
          </w:tcPr>
          <w:p>
            <w:r>
              <w:t>Organizational Change Management Work Package</w:t>
            </w:r>
          </w:p>
        </w:tc>
        <w:tc>
          <w:tcPr>
            <w:tcW w:type="dxa" w:w="4320"/>
          </w:tcPr>
          <w:p>
            <w:r>
              <w:t>Addresses change resistance risk</w:t>
            </w:r>
          </w:p>
        </w:tc>
      </w:tr>
      <w:tr>
        <w:tc>
          <w:tcPr>
            <w:tcW w:type="dxa" w:w="4320"/>
          </w:tcPr>
          <w:p>
            <w:r>
              <w:t>Training &amp; Enablement Work Package</w:t>
            </w:r>
          </w:p>
        </w:tc>
        <w:tc>
          <w:tcPr>
            <w:tcW w:type="dxa" w:w="4320"/>
          </w:tcPr>
          <w:p>
            <w:r>
              <w:t>Closes the Skills &amp; Capability Gap</w:t>
            </w:r>
          </w:p>
        </w:tc>
      </w:tr>
      <w:tr>
        <w:tc>
          <w:tcPr>
            <w:tcW w:type="dxa" w:w="4320"/>
          </w:tcPr>
          <w:p>
            <w:r>
              <w:t>Testing &amp; Quality Assurance Work Package</w:t>
            </w:r>
          </w:p>
        </w:tc>
        <w:tc>
          <w:tcPr>
            <w:tcW w:type="dxa" w:w="4320"/>
          </w:tcPr>
          <w:p>
            <w:r>
              <w:t>Validates each transition plateau before promotion</w:t>
            </w:r>
          </w:p>
        </w:tc>
      </w:tr>
      <w:tr>
        <w:tc>
          <w:tcPr>
            <w:tcW w:type="dxa" w:w="4320"/>
          </w:tcPr>
          <w:p>
            <w:r>
              <w:t>Legacy Decommissioning Work Package</w:t>
            </w:r>
          </w:p>
        </w:tc>
        <w:tc>
          <w:tcPr>
            <w:tcW w:type="dxa" w:w="4320"/>
          </w:tcPr>
          <w:p>
            <w:r>
              <w:t>Closes the Legacy ERP Decommissioning Gap</w:t>
            </w:r>
          </w:p>
        </w:tc>
      </w:tr>
    </w:tbl>
    <w:p/>
    <w:p>
      <w:pPr>
        <w:pStyle w:val="Heading1"/>
      </w:pPr>
      <w:r>
        <w:t>5. Transition Architecture Sequencing</w:t>
      </w:r>
    </w:p>
    <w:p>
      <w:r>
        <w:t>Opportunities are realized through the sequence of plateaus modelled in the Migration Plateaus view: Baseline Architecture (Legacy ERP) → Transition Architecture 1 (Pilot Rollout) → Transition Architecture 2 (Regional Rollout) → Transition Architecture 3 (Global Rollout) → Target Architecture (SAP RISE with S/4HANA Cloud) → Future State Architecture (Continuous Innovation). Each transition plateau closes a defined subset of the seven gaps above before the next rollout wave begins.</w:t>
      </w:r>
    </w:p>
    <w:p>
      <w:pPr>
        <w:pStyle w:val="Heading1"/>
      </w:pPr>
      <w:r>
        <w:t>6. Resource Constraints</w:t>
      </w:r>
    </w:p>
    <w:p>
      <w:r>
        <w:t>Sequencing and prioritization are bounded by the following strategic resources:</w:t>
      </w:r>
    </w:p>
    <w:p>
      <w:pPr>
        <w:pStyle w:val="ListBullet"/>
      </w:pPr>
      <w:r>
        <w:t>SAP RISE Program Budget</w:t>
      </w:r>
    </w:p>
    <w:p>
      <w:pPr>
        <w:pStyle w:val="ListBullet"/>
      </w:pPr>
      <w:r>
        <w:t>Skilled ABAP/BTP Developer Pool</w:t>
      </w:r>
    </w:p>
    <w:p>
      <w:pPr>
        <w:pStyle w:val="ListBullet"/>
      </w:pPr>
      <w:r>
        <w:t>Enterprise Architecture Practice</w:t>
      </w:r>
    </w:p>
    <w:p>
      <w:pPr>
        <w:pStyle w:val="ListBullet"/>
      </w:pPr>
      <w:r>
        <w:t>SAP License Estate</w:t>
      </w:r>
    </w:p>
    <w:p>
      <w:pPr>
        <w:pStyle w:val="ListBullet"/>
      </w:pPr>
      <w:r>
        <w:t>Center of Excellence - SAP</w:t>
      </w:r>
    </w:p>
    <w:p>
      <w:pPr>
        <w:pStyle w:val="ListBullet"/>
      </w:pPr>
      <w:r>
        <w:t>Data Migration Toolset</w:t>
      </w:r>
    </w:p>
    <w:p>
      <w:pPr>
        <w:pStyle w:val="ListBullet"/>
      </w:pPr>
      <w:r>
        <w:t>Cloud Hyperscaler Capacity</w:t>
      </w:r>
    </w:p>
    <w:p>
      <w:pPr>
        <w:pStyle w:val="ListBullet"/>
      </w:pPr>
      <w:r>
        <w:t>Change Management Capability</w:t>
      </w:r>
    </w:p>
    <w:p>
      <w:pPr>
        <w:pStyle w:val="ListBullet"/>
      </w:pPr>
      <w:r>
        <w:t>Training &amp; Enablement Assets</w:t>
      </w:r>
    </w:p>
    <w:p>
      <w:pPr>
        <w:pStyle w:val="ListBullet"/>
      </w:pPr>
      <w:r>
        <w:t>Program Management Office</w:t>
      </w:r>
    </w:p>
    <w:p>
      <w:pPr>
        <w:pStyle w:val="Heading1"/>
      </w:pPr>
      <w:r>
        <w:t>7. Risks Carried Forward</w:t>
      </w:r>
    </w:p>
    <w:p>
      <w:pPr>
        <w:pStyle w:val="ListBullet"/>
      </w:pPr>
      <w:r>
        <w:t>Risk: Custom Code Volume Underestimated</w:t>
      </w:r>
    </w:p>
    <w:p>
      <w:pPr>
        <w:pStyle w:val="ListBullet"/>
      </w:pPr>
      <w:r>
        <w:t>Risk: Cutover Downtime Exceeds Approved Window</w:t>
      </w:r>
    </w:p>
    <w:p>
      <w:pPr>
        <w:pStyle w:val="ListBullet"/>
      </w:pPr>
      <w:r>
        <w:t>Risk: Data Migration Quality Issues</w:t>
      </w:r>
    </w:p>
    <w:p>
      <w:pPr>
        <w:pStyle w:val="ListBullet"/>
      </w:pPr>
      <w:r>
        <w:t>Risk: Change Resistance from Business Units</w:t>
      </w:r>
    </w:p>
    <w:p>
      <w:pPr>
        <w:pStyle w:val="ListBullet"/>
      </w:pPr>
      <w:r>
        <w:t>Risk: SI Partner Resource Availability</w:t>
      </w:r>
    </w:p>
    <w:p>
      <w:pPr>
        <w:pStyle w:val="ListBullet"/>
      </w:pPr>
      <w:r>
        <w:t>Risk: Security Misconfiguration During Migration</w:t>
      </w:r>
    </w:p>
    <w:p>
      <w:pPr>
        <w:pStyle w:val="Heading1"/>
      </w:pPr>
      <w:r>
        <w:t>8. Next Steps</w:t>
      </w:r>
    </w:p>
    <w:p>
      <w:r>
        <w:t>Approved opportunities proceed to detailed work package planning and sequencing in the Phase F Migration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