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SAP RISE with SAP S/4HANA Cloud</w:t>
      </w:r>
    </w:p>
    <w:p>
      <w:r>
        <w:rPr>
          <w:b/>
          <w:sz w:val="56"/>
        </w:rPr>
        <w:t>Architecture Principles</w:t>
      </w:r>
    </w:p>
    <w:p>
      <w:r>
        <w:rPr>
          <w:i/>
          <w:sz w:val="28"/>
        </w:rPr>
        <w:t>TOGAF Preliminary Phase – SAP Enterprise Repository</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Programme</w:t>
            </w:r>
          </w:p>
        </w:tc>
        <w:tc>
          <w:tcPr>
            <w:tcW w:type="dxa" w:w="4320"/>
          </w:tcPr>
          <w:p>
            <w:r>
              <w:t>SAP RISE with SAP S/4HANA Cloud – Enterprise Transformation</w:t>
            </w:r>
          </w:p>
        </w:tc>
      </w:tr>
      <w:tr>
        <w:tc>
          <w:tcPr>
            <w:tcW w:type="dxa" w:w="4320"/>
          </w:tcPr>
          <w:p>
            <w:r>
              <w:t>TOGAF ADM Phase</w:t>
            </w:r>
          </w:p>
        </w:tc>
        <w:tc>
          <w:tcPr>
            <w:tcW w:type="dxa" w:w="4320"/>
          </w:tcPr>
          <w:p>
            <w:r>
              <w:t>Preliminary Phase</w:t>
            </w:r>
          </w:p>
        </w:tc>
      </w:tr>
      <w:tr>
        <w:tc>
          <w:tcPr>
            <w:tcW w:type="dxa" w:w="4320"/>
          </w:tcPr>
          <w:p>
            <w:r>
              <w:t>Architecture Repository</w:t>
            </w:r>
          </w:p>
        </w:tc>
        <w:tc>
          <w:tcPr>
            <w:tcW w:type="dxa" w:w="4320"/>
          </w:tcPr>
          <w:p>
            <w:r>
              <w:t>SAP Enterprise Repository (ArchiMate 3.x model)</w:t>
            </w:r>
          </w:p>
        </w:tc>
      </w:tr>
      <w:tr>
        <w:tc>
          <w:tcPr>
            <w:tcW w:type="dxa" w:w="4320"/>
          </w:tcPr>
          <w:p>
            <w:r>
              <w:t>Document Status</w:t>
            </w:r>
          </w:p>
        </w:tc>
        <w:tc>
          <w:tcPr>
            <w:tcW w:type="dxa" w:w="4320"/>
          </w:tcPr>
          <w:p>
            <w:r>
              <w:t>Draft for Review</w:t>
            </w:r>
          </w:p>
        </w:tc>
      </w:tr>
      <w:tr>
        <w:tc>
          <w:tcPr>
            <w:tcW w:type="dxa" w:w="4320"/>
          </w:tcPr>
          <w:p>
            <w:r>
              <w:t>Version</w:t>
            </w:r>
          </w:p>
        </w:tc>
        <w:tc>
          <w:tcPr>
            <w:tcW w:type="dxa" w:w="4320"/>
          </w:tcPr>
          <w:p>
            <w:r>
              <w:t>0.1</w:t>
            </w:r>
          </w:p>
        </w:tc>
      </w:tr>
      <w:tr>
        <w:tc>
          <w:tcPr>
            <w:tcW w:type="dxa" w:w="4320"/>
          </w:tcPr>
          <w:p>
            <w:r>
              <w:t>Date</w:t>
            </w:r>
          </w:p>
        </w:tc>
        <w:tc>
          <w:tcPr>
            <w:tcW w:type="dxa" w:w="4320"/>
          </w:tcPr>
          <w:p>
            <w:r>
              <w:t>2026-08-14</w:t>
            </w:r>
          </w:p>
        </w:tc>
      </w:tr>
      <w:tr>
        <w:tc>
          <w:tcPr>
            <w:tcW w:type="dxa" w:w="4320"/>
          </w:tcPr>
          <w:p>
            <w:r>
              <w:t>Prepared By</w:t>
            </w:r>
          </w:p>
        </w:tc>
        <w:tc>
          <w:tcPr>
            <w:tcW w:type="dxa" w:w="4320"/>
          </w:tcPr>
          <w:p>
            <w:r>
              <w:t>Enterprise Architecture Team</w:t>
            </w:r>
          </w:p>
        </w:tc>
      </w:tr>
      <w:tr>
        <w:tc>
          <w:tcPr>
            <w:tcW w:type="dxa" w:w="4320"/>
          </w:tcPr>
          <w:p>
            <w:r>
              <w:t>Classification</w:t>
            </w:r>
          </w:p>
        </w:tc>
        <w:tc>
          <w:tcPr>
            <w:tcW w:type="dxa" w:w="4320"/>
          </w:tcPr>
          <w:p>
            <w:r>
              <w:t>Internal</w:t>
            </w:r>
          </w:p>
        </w:tc>
      </w:tr>
    </w:tbl>
    <w:p/>
    <w:p>
      <w:pPr>
        <w:pStyle w:val="Heading1"/>
      </w:pPr>
      <w:r>
        <w:t>1. Introduction</w:t>
      </w:r>
    </w:p>
    <w:p>
      <w:r>
        <w:t>Section 11 of the Architecture Vision (“Architecture Principles Applied”) lists the six architecture principles governing the SAP RISE with SAP S/4HANA Cloud transformation. This document formalizes those principles into a governed catalog – stating each principle's rationale, implications, and the driver(s) it supports – per TOGAF Preliminary Phase guidance. Every principle below has a corresponding Principle element in the SAP Enterprise Repository.</w:t>
      </w:r>
    </w:p>
    <w:p>
      <w:pPr>
        <w:pStyle w:val="Heading1"/>
      </w:pPr>
      <w:r>
        <w:t>2. Principle Catalog</w:t>
      </w:r>
    </w:p>
    <w:p>
      <w:pPr>
        <w:pStyle w:val="Heading2"/>
      </w:pPr>
      <w:r>
        <w:t>2.1 Keep the Core Clean</w:t>
      </w:r>
    </w:p>
    <w:p>
      <w:r>
        <w:t>Statement: The SAP S/4HANA Cloud core is never modified. All extensions are built outside the core using SAP BTP.</w:t>
      </w:r>
    </w:p>
    <w:p>
      <w:r>
        <w:t>Rationale: Directly supports the requirement “System shall support SAP Clean Core extensibility” and the goal “Achieve Clean Core Compliance,” and is the enabling principle behind the course of action “Adopt Clean Core Principles.”</w:t>
      </w:r>
    </w:p>
    <w:p>
      <w:r>
        <w:t>Implications:</w:t>
      </w:r>
    </w:p>
    <w:p>
      <w:pPr>
        <w:pStyle w:val="ListBullet"/>
      </w:pPr>
      <w:r>
        <w:t>Custom code (Z-objects) identified in the Custom Code Usage Assessment is remediated, not carried forward into the core.</w:t>
      </w:r>
    </w:p>
    <w:p>
      <w:pPr>
        <w:pStyle w:val="ListBullet"/>
      </w:pPr>
      <w:r>
        <w:t>Every extension is delivered through the SAP BTP Extension Factory or SAP Build Apps.</w:t>
      </w:r>
    </w:p>
    <w:p>
      <w:pPr>
        <w:pStyle w:val="ListBullet"/>
      </w:pPr>
      <w:r>
        <w:t>Upgrades to S/4HANA Cloud can be applied without regression-testing core modifications.</w:t>
      </w:r>
    </w:p>
    <w:p>
      <w:pPr>
        <w:pStyle w:val="Heading2"/>
      </w:pPr>
      <w:r>
        <w:t>2.2 Prefer Configuration over Customization</w:t>
      </w:r>
    </w:p>
    <w:p>
      <w:r>
        <w:t>Statement: Business requirements are met through standard configuration wherever possible; custom development is the last resort.</w:t>
      </w:r>
    </w:p>
    <w:p>
      <w:r>
        <w:t>Rationale: Reduces the Custom Code Footprint (goal: “Reduce Custom Code Footprint by 50%”) and lowers total cost of ownership (driver: “Reduce Total Cost of Ownership”).</w:t>
      </w:r>
    </w:p>
    <w:p>
      <w:r>
        <w:t>Implications:</w:t>
      </w:r>
    </w:p>
    <w:p>
      <w:pPr>
        <w:pStyle w:val="ListBullet"/>
      </w:pPr>
      <w:r>
        <w:t>Fit-to-standard workshops precede any custom development request.</w:t>
      </w:r>
    </w:p>
    <w:p>
      <w:pPr>
        <w:pStyle w:val="ListBullet"/>
      </w:pPr>
      <w:r>
        <w:t>Deviations require Architecture Review Board approval and are tracked against the “Process Standardization Gap.”</w:t>
      </w:r>
    </w:p>
    <w:p>
      <w:pPr>
        <w:pStyle w:val="Heading2"/>
      </w:pPr>
      <w:r>
        <w:t>2.3 Design for API-First Integration</w:t>
      </w:r>
    </w:p>
    <w:p>
      <w:r>
        <w:t>Statement: All integrations between SAP RISE components and third-party systems are built API-first via SAP Integration Suite.</w:t>
      </w:r>
    </w:p>
    <w:p>
      <w:r>
        <w:t>Rationale: Supports the requirement “System shall integrate via SAP Integration Suite” and “System shall support API-first extension model,” and the course of action “Establish API-First Integration Strategy.”</w:t>
      </w:r>
    </w:p>
    <w:p>
      <w:r>
        <w:t>Implications:</w:t>
      </w:r>
    </w:p>
    <w:p>
      <w:pPr>
        <w:pStyle w:val="ListBullet"/>
      </w:pPr>
      <w:r>
        <w:t>Point-to-point integrations are disallowed in the target state; all integration flows through SAP Integration Suite / SAP Event Mesh.</w:t>
      </w:r>
    </w:p>
    <w:p>
      <w:pPr>
        <w:pStyle w:val="ListBullet"/>
      </w:pPr>
      <w:r>
        <w:t>Reduces the Integration Coverage Gap and directly targets the goal “Reduce Integration Lead Time.”</w:t>
      </w:r>
    </w:p>
    <w:p>
      <w:pPr>
        <w:pStyle w:val="Heading2"/>
      </w:pPr>
      <w:r>
        <w:t>2.4 Adopt Cloud-Native Services by Default</w:t>
      </w:r>
    </w:p>
    <w:p>
      <w:r>
        <w:t>Statement: New capability is delivered using SAP BTP cloud-native services (Cloud Foundry, Kubernetes, Database-as-a-Service) rather than self-managed infrastructure.</w:t>
      </w:r>
    </w:p>
    <w:p>
      <w:r>
        <w:t>Rationale: Supports the driver “Enable Continuous Innovation” and the course of action “Standardize on SAP BTP for Extensions.”</w:t>
      </w:r>
    </w:p>
    <w:p>
      <w:r>
        <w:t>Implications:</w:t>
      </w:r>
    </w:p>
    <w:p>
      <w:pPr>
        <w:pStyle w:val="ListBullet"/>
      </w:pPr>
      <w:r>
        <w:t>New infrastructure Nodes default to the SAP BTP Cloud Foundry Runtime, Kubernetes Cluster - BTP, or SAP HANA Cloud Database Node rather than bespoke servers.</w:t>
      </w:r>
    </w:p>
    <w:p>
      <w:pPr>
        <w:pStyle w:val="ListBullet"/>
      </w:pPr>
      <w:r>
        <w:t>Compute Provisioning Service and Container Orchestration Service are consumed as managed platform services.</w:t>
      </w:r>
    </w:p>
    <w:p>
      <w:pPr>
        <w:pStyle w:val="Heading2"/>
      </w:pPr>
      <w:r>
        <w:t>2.5 Data Privacy by Design</w:t>
      </w:r>
    </w:p>
    <w:p>
      <w:r>
        <w:t>Statement: Data protection and regulatory data residency requirements are designed in from the start of every work package, not retrofitted.</w:t>
      </w:r>
    </w:p>
    <w:p>
      <w:r>
        <w:t>Rationale: Supports the requirements “System shall retain data residency in EU region” and “System shall support GDPR-compliant data handling,” and the driver “Ensure Regulatory Compliance.”</w:t>
      </w:r>
    </w:p>
    <w:p>
      <w:r>
        <w:t>Implications:</w:t>
      </w:r>
    </w:p>
    <w:p>
      <w:pPr>
        <w:pStyle w:val="ListBullet"/>
      </w:pPr>
      <w:r>
        <w:t>Regional Data Center - EMEA is the default hosting location for EU personal data.</w:t>
      </w:r>
    </w:p>
    <w:p>
      <w:pPr>
        <w:pStyle w:val="ListBullet"/>
      </w:pPr>
      <w:r>
        <w:t>Every work package touching Customer Master, Vendor Master, or Employee Master data is reviewed against the Security &amp; Compliance Gap before build.</w:t>
      </w:r>
    </w:p>
    <w:p>
      <w:pPr>
        <w:pStyle w:val="Heading2"/>
      </w:pPr>
      <w:r>
        <w:t>2.6 Reuse before Buy before Build</w:t>
      </w:r>
    </w:p>
    <w:p>
      <w:r>
        <w:t>Statement: Existing SAP RISE capability is reused first; a market solution is purchased second; custom build is the last resort.</w:t>
      </w:r>
    </w:p>
    <w:p>
      <w:r>
        <w:t>Rationale: Protects the SAP License Estate and Program Budget (Resources) and limits growth of the Custom Code Footprint.</w:t>
      </w:r>
    </w:p>
    <w:p>
      <w:r>
        <w:t>Implications:</w:t>
      </w:r>
    </w:p>
    <w:p>
      <w:pPr>
        <w:pStyle w:val="ListBullet"/>
      </w:pPr>
      <w:r>
        <w:t>Every new capability request is checked against the existing 30-capability Capability Map before a build decision is made.</w:t>
      </w:r>
    </w:p>
    <w:p>
      <w:pPr>
        <w:pStyle w:val="Heading1"/>
      </w:pPr>
      <w:r>
        <w:t>3. Principle-to-Driver Traceability</w:t>
      </w:r>
    </w:p>
    <w:tbl>
      <w:tblPr>
        <w:tblStyle w:val="TableGrid"/>
        <w:tblW w:type="auto" w:w="0"/>
        <w:tblLook w:firstColumn="1" w:firstRow="1" w:lastColumn="0" w:lastRow="0" w:noHBand="0" w:noVBand="1" w:val="04A0"/>
      </w:tblPr>
      <w:tblGrid>
        <w:gridCol w:w="4320"/>
        <w:gridCol w:w="4320"/>
      </w:tblGrid>
      <w:tr>
        <w:tc>
          <w:tcPr>
            <w:tcW w:type="dxa" w:w="4320"/>
          </w:tcPr>
          <w:p>
            <w:r>
              <w:rPr>
                <w:b/>
              </w:rPr>
              <w:t>Principle</w:t>
            </w:r>
          </w:p>
        </w:tc>
        <w:tc>
          <w:tcPr>
            <w:tcW w:type="dxa" w:w="4320"/>
          </w:tcPr>
          <w:p>
            <w:r>
              <w:rPr>
                <w:b/>
              </w:rPr>
              <w:t>Driver(s) Supported</w:t>
            </w:r>
          </w:p>
        </w:tc>
      </w:tr>
      <w:tr>
        <w:tc>
          <w:tcPr>
            <w:tcW w:type="dxa" w:w="4320"/>
          </w:tcPr>
          <w:p>
            <w:r>
              <w:t>Keep the Core Clean</w:t>
            </w:r>
          </w:p>
        </w:tc>
        <w:tc>
          <w:tcPr>
            <w:tcW w:type="dxa" w:w="4320"/>
          </w:tcPr>
          <w:p>
            <w:r>
              <w:t>Reduce Total Cost of Ownership; Enable Continuous Innovation</w:t>
            </w:r>
          </w:p>
        </w:tc>
      </w:tr>
      <w:tr>
        <w:tc>
          <w:tcPr>
            <w:tcW w:type="dxa" w:w="4320"/>
          </w:tcPr>
          <w:p>
            <w:r>
              <w:t>Prefer Configuration over Customization</w:t>
            </w:r>
          </w:p>
        </w:tc>
        <w:tc>
          <w:tcPr>
            <w:tcW w:type="dxa" w:w="4320"/>
          </w:tcPr>
          <w:p>
            <w:r>
              <w:t>Reduce Total Cost of Ownership</w:t>
            </w:r>
          </w:p>
        </w:tc>
      </w:tr>
      <w:tr>
        <w:tc>
          <w:tcPr>
            <w:tcW w:type="dxa" w:w="4320"/>
          </w:tcPr>
          <w:p>
            <w:r>
              <w:t>Design for API-First Integration</w:t>
            </w:r>
          </w:p>
        </w:tc>
        <w:tc>
          <w:tcPr>
            <w:tcW w:type="dxa" w:w="4320"/>
          </w:tcPr>
          <w:p>
            <w:r>
              <w:t>Increase Business Agility</w:t>
            </w:r>
          </w:p>
        </w:tc>
      </w:tr>
      <w:tr>
        <w:tc>
          <w:tcPr>
            <w:tcW w:type="dxa" w:w="4320"/>
          </w:tcPr>
          <w:p>
            <w:r>
              <w:t>Adopt Cloud-Native Services by Default</w:t>
            </w:r>
          </w:p>
        </w:tc>
        <w:tc>
          <w:tcPr>
            <w:tcW w:type="dxa" w:w="4320"/>
          </w:tcPr>
          <w:p>
            <w:r>
              <w:t>Enable Continuous Innovation; Support Sustainability Reporting</w:t>
            </w:r>
          </w:p>
        </w:tc>
      </w:tr>
      <w:tr>
        <w:tc>
          <w:tcPr>
            <w:tcW w:type="dxa" w:w="4320"/>
          </w:tcPr>
          <w:p>
            <w:r>
              <w:t>Data Privacy by Design</w:t>
            </w:r>
          </w:p>
        </w:tc>
        <w:tc>
          <w:tcPr>
            <w:tcW w:type="dxa" w:w="4320"/>
          </w:tcPr>
          <w:p>
            <w:r>
              <w:t>Ensure Regulatory Compliance</w:t>
            </w:r>
          </w:p>
        </w:tc>
      </w:tr>
      <w:tr>
        <w:tc>
          <w:tcPr>
            <w:tcW w:type="dxa" w:w="4320"/>
          </w:tcPr>
          <w:p>
            <w:r>
              <w:t>Reuse before Buy before Build</w:t>
            </w:r>
          </w:p>
        </w:tc>
        <w:tc>
          <w:tcPr>
            <w:tcW w:type="dxa" w:w="4320"/>
          </w:tcPr>
          <w:p>
            <w:r>
              <w:t>Reduce Total Cost of Ownership; Improve Data Quality</w:t>
            </w:r>
          </w:p>
        </w:tc>
      </w:tr>
    </w:tbl>
    <w:p/>
    <w:p>
      <w:pPr>
        <w:pStyle w:val="Heading1"/>
      </w:pPr>
      <w:r>
        <w:t>4. Governance</w:t>
      </w:r>
    </w:p>
    <w:p>
      <w:r>
        <w:t>Compliance with these principles is reviewed by the Architecture Review Board at every phase gate and before each of the 16 work packages in the Implementation and Migration Plan is approved for build. Exceptions are logged and tracked as residual risk against the relevant Gap until resolved or formally accepted.</w:t>
      </w:r>
    </w:p>
    <w:p>
      <w:pPr>
        <w:pStyle w:val="Heading1"/>
      </w:pPr>
      <w:r>
        <w:t>5. Next Steps</w:t>
      </w:r>
    </w:p>
    <w:p>
      <w:r>
        <w:t>These principles carry forward unchanged into Phase A (Architecture Vision) and are re-validated at each subsequent phase gate through Phase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