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Architecture</w:t>
      </w:r>
    </w:p>
    <w:p>
      <w:r>
        <w:rPr>
          <w:i/>
        </w:rPr>
        <w:t>Repository: flower company</w:t>
        <w:br/>
      </w:r>
      <w:r>
        <w:rPr>
          <w:i/>
        </w:rPr>
        <w:t>Company: flower power</w:t>
        <w:br/>
      </w:r>
      <w:r>
        <w:rPr>
          <w:i/>
        </w:rPr>
        <w:t>TOGAF ADM phase: Phase C - Information Systems Architectures</w:t>
        <w:br/>
      </w:r>
      <w:r>
        <w:rPr>
          <w:i/>
        </w:rPr>
        <w:t>Author: Bram-JanDuits</w:t>
        <w:br/>
      </w:r>
      <w:r>
        <w:rPr>
          <w:i/>
        </w:rPr>
        <w:t>Generated: 2026-08-14 (base template)</w:t>
      </w:r>
    </w:p>
    <w:p>
      <w:pPr>
        <w:pStyle w:val="Heading1"/>
      </w:pPr>
      <w:r>
        <w:t>Purpose</w:t>
      </w:r>
    </w:p>
    <w:p>
      <w:r>
        <w:t>Describes the logical and physical data assets and data management resources required to support the business.</w:t>
      </w:r>
    </w:p>
    <w:p>
      <w:pPr>
        <w:pStyle w:val="Heading1"/>
      </w:pPr>
      <w:r>
        <w:t>Scope</w:t>
      </w:r>
    </w:p>
    <w:p>
      <w:pPr>
        <w:pStyle w:val="Heading3"/>
      </w:pPr>
      <w:r>
        <w:t>Proposed applications</w:t>
      </w:r>
    </w:p>
    <w:p>
      <w:pPr>
        <w:pStyle w:val="ListBullet"/>
      </w:pPr>
      <w:r>
        <w:t>SAP Concur (Travel &amp; Expense)</w:t>
      </w:r>
    </w:p>
    <w:p>
      <w:pPr>
        <w:pStyle w:val="Heading3"/>
      </w:pPr>
      <w:r>
        <w:t>Business processes in scope</w:t>
      </w:r>
    </w:p>
    <w:p>
      <w:pPr>
        <w:pStyle w:val="ListBullet"/>
      </w:pPr>
      <w:r>
        <w:t>Lead-to-Cash</w:t>
      </w:r>
    </w:p>
    <w:p>
      <w:pPr>
        <w:pStyle w:val="ListBullet"/>
      </w:pPr>
      <w:r>
        <w:t>Order-to-Cash</w:t>
      </w:r>
    </w:p>
    <w:p>
      <w:pPr>
        <w:pStyle w:val="ListBullet"/>
      </w:pPr>
      <w:r>
        <w:t>Procure-to-Pay</w:t>
      </w:r>
    </w:p>
    <w:p>
      <w:pPr>
        <w:pStyle w:val="ListBullet"/>
      </w:pPr>
      <w:r>
        <w:t>Record-to-Report</w:t>
      </w:r>
    </w:p>
    <w:p>
      <w:pPr>
        <w:pStyle w:val="ListBullet"/>
      </w:pPr>
      <w:r>
        <w:t>Hire-to-Retire</w:t>
      </w:r>
    </w:p>
    <w:p>
      <w:pPr>
        <w:pStyle w:val="ListBullet"/>
      </w:pPr>
      <w:r>
        <w:t>Plan-to-Produce</w:t>
      </w:r>
    </w:p>
    <w:p>
      <w:pPr>
        <w:pStyle w:val="ListBullet"/>
      </w:pPr>
      <w:r>
        <w:t>Design-to-Operate</w:t>
      </w:r>
    </w:p>
    <w:p>
      <w:pPr>
        <w:pStyle w:val="ListBullet"/>
      </w:pPr>
      <w:r>
        <w:t>Acquire-to-Decommission (Asset Management)</w:t>
      </w:r>
    </w:p>
    <w:p>
      <w:pPr>
        <w:pStyle w:val="ListBullet"/>
      </w:pPr>
      <w:r>
        <w:t>Idea-to-Market</w:t>
      </w:r>
    </w:p>
    <w:p>
      <w:pPr>
        <w:pStyle w:val="ListBullet"/>
      </w:pPr>
      <w:r>
        <w:t>Forecast-to-Deliver (Supply Chain)</w:t>
      </w:r>
    </w:p>
    <w:p>
      <w:pPr>
        <w:pStyle w:val="Heading1"/>
      </w:pPr>
      <w:r>
        <w:t>Content</w:t>
      </w:r>
    </w:p>
    <w:p>
      <w:r>
        <w:t>Draft placeholder generated from the base template. Replace this section with the actual deliverable content produced during the corresponding TOGAF ADM phase workshop.</w:t>
      </w:r>
    </w:p>
    <w:p>
      <w:pPr>
        <w:pStyle w:val="Heading1"/>
      </w:pPr>
      <w:r>
        <w:t>Status</w:t>
      </w:r>
    </w:p>
    <w:p>
      <w:r>
        <w:rPr>
          <w:b/>
        </w:rPr>
        <w:t>DRAFT</w:t>
      </w:r>
      <w:r>
        <w:t xml:space="preserve"> - generated from base template on 2026-08-14.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