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Architecture Deliverables - Phases C and D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Phase C - Information Systems Architectures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Supporting TOGAF ADM artifact for this phase. Elaborate with stakeholders during the corresponding ADM workshop.</w:t>
      </w:r>
    </w:p>
    <w:p>
      <w:pPr>
        <w:pStyle w:val="Heading1"/>
      </w:pPr>
      <w:r>
        <w:t>Scope</w:t>
      </w:r>
    </w:p>
    <w:p>
      <w:pPr>
        <w:pStyle w:val="Heading3"/>
      </w:pPr>
      <w:r>
        <w:t>Proposed applications</w:t>
      </w:r>
    </w:p>
    <w:p>
      <w:pPr>
        <w:pStyle w:val="ListBullet"/>
      </w:pPr>
      <w:r>
        <w:t>SAP Concur (Travel &amp; Expense)</w:t>
      </w:r>
    </w:p>
    <w:p>
      <w:pPr>
        <w:pStyle w:val="Heading3"/>
      </w:pPr>
      <w:r>
        <w:t>Primary platform / hosting model</w:t>
      </w:r>
    </w:p>
    <w:p>
      <w:r>
        <w:t>GROW with SAP (S/4HANA Cloud, public edition)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