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Principles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Preliminary Phase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States the formal architecture principles that will govern decision-making throughout the engagement, separate from the business principles/goals/drivers captured alongside them.</w:t>
      </w:r>
    </w:p>
    <w:p>
      <w:pPr>
        <w:pStyle w:val="Heading1"/>
      </w:pPr>
      <w:r>
        <w:t>Scope</w:t>
      </w:r>
    </w:p>
    <w:p>
      <w:pPr>
        <w:pStyle w:val="Heading3"/>
      </w:pPr>
      <w:r>
        <w:t>Architecture principles</w:t>
      </w:r>
    </w:p>
    <w:p>
      <w:pPr>
        <w:pStyle w:val="ListBullet"/>
      </w:pPr>
      <w:r>
        <w:t>Cloud-first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