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Architecture Work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Engagement type</w:t>
      </w:r>
    </w:p>
    <w:p>
      <w:r>
        <w:t>Existing enterprise transformation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