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Definition Document</w:t>
      </w:r>
    </w:p>
    <w:p>
      <w:r>
        <w:rPr>
          <w:i/>
          <w:sz w:val="28"/>
        </w:rPr>
        <w:t>Centralized Identity &amp; Access Management – TOGAF Deliverable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A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Architecture Definition Document consolidates the Business, Data, Application, and Technology Architectures for the Centralized IAM sub-project into a single cross-domain reference, elaborated iteratively across Phases B, C, and D. This is an early draft; a formal, complete baseline is produced in Phase E.</w:t>
      </w:r>
    </w:p>
    <w:p>
      <w:pPr>
        <w:pStyle w:val="Heading1"/>
      </w:pPr>
      <w:r>
        <w:t>2. Business Architecture Summary</w:t>
      </w:r>
    </w:p>
    <w:p>
      <w:pPr>
        <w:pStyle w:val="ListBullet"/>
      </w:pPr>
      <w:r>
        <w:t>Joiner Process</w:t>
      </w:r>
    </w:p>
    <w:p>
      <w:pPr>
        <w:pStyle w:val="ListBullet"/>
      </w:pPr>
      <w:r>
        <w:t>Mover Process</w:t>
      </w:r>
    </w:p>
    <w:p>
      <w:pPr>
        <w:pStyle w:val="ListBullet"/>
      </w:pPr>
      <w:r>
        <w:t>Leaver Process</w:t>
      </w:r>
    </w:p>
    <w:p>
      <w:pPr>
        <w:pStyle w:val="ListBullet"/>
      </w:pPr>
      <w:r>
        <w:t>Access Request and Approval Process</w:t>
      </w:r>
    </w:p>
    <w:p>
      <w:pPr>
        <w:pStyle w:val="Heading1"/>
      </w:pPr>
      <w:r>
        <w:t>3. Data Architecture Summary</w:t>
      </w:r>
    </w:p>
    <w:p>
      <w:pPr>
        <w:pStyle w:val="ListBullet"/>
      </w:pPr>
      <w:r>
        <w:t>User Identity Record</w:t>
      </w:r>
    </w:p>
    <w:p>
      <w:pPr>
        <w:pStyle w:val="ListBullet"/>
      </w:pPr>
      <w:r>
        <w:t>Employee Master (SuccessFactors)</w:t>
      </w:r>
    </w:p>
    <w:p>
      <w:pPr>
        <w:pStyle w:val="ListBullet"/>
      </w:pPr>
      <w:r>
        <w:t>User Account (S/4HANA Cloud)</w:t>
      </w:r>
    </w:p>
    <w:p>
      <w:pPr>
        <w:pStyle w:val="Heading1"/>
      </w:pPr>
      <w:r>
        <w:t>4. Application Architecture Summary</w:t>
      </w:r>
    </w:p>
    <w:p>
      <w:pPr>
        <w:pStyle w:val="ListBullet"/>
      </w:pPr>
      <w:r>
        <w:t>Azure Active Directory (Azure AD)</w:t>
      </w:r>
    </w:p>
    <w:p>
      <w:pPr>
        <w:pStyle w:val="ListBullet"/>
      </w:pPr>
      <w:r>
        <w:t>SAP IAS - S/4HANA</w:t>
      </w:r>
    </w:p>
    <w:p>
      <w:pPr>
        <w:pStyle w:val="ListBullet"/>
      </w:pPr>
      <w:r>
        <w:t>SAP IAS - SuccessFactors</w:t>
      </w:r>
    </w:p>
    <w:p>
      <w:pPr>
        <w:pStyle w:val="ListBullet"/>
      </w:pPr>
      <w:r>
        <w:t>SAP IPS - S/4HANA</w:t>
      </w:r>
    </w:p>
    <w:p>
      <w:pPr>
        <w:pStyle w:val="ListBullet"/>
      </w:pPr>
      <w:r>
        <w:t>SAP IPS - SuccessFactors</w:t>
      </w:r>
    </w:p>
    <w:p>
      <w:pPr>
        <w:pStyle w:val="Heading1"/>
      </w:pPr>
      <w:r>
        <w:t>5. Technology Architecture Summary</w:t>
      </w:r>
    </w:p>
    <w:p>
      <w:pPr>
        <w:pStyle w:val="ListBullet"/>
      </w:pPr>
      <w:r>
        <w:t>Azure Cloud Tenant</w:t>
      </w:r>
    </w:p>
    <w:p>
      <w:pPr>
        <w:pStyle w:val="ListBullet"/>
      </w:pPr>
      <w:r>
        <w:t>SAP BTP Identity Services Runtime</w:t>
      </w:r>
    </w:p>
    <w:p>
      <w:pPr>
        <w:pStyle w:val="Heading1"/>
      </w:pPr>
      <w:r>
        <w:t>6. Cross-Domain Traceability</w:t>
      </w:r>
    </w:p>
    <w:p>
      <w:r>
        <w:t>Each domain above traces back to the single Capability defined in the Architecture Vision, and forward to the Gaps and Work Packages defined in Phases E and F. A full, formal baseline covering every element now confirmed in the model is produced as the Phase E “Architecture Definition Document (Formal).”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