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Capability Assessment</w:t>
      </w:r>
    </w:p>
    <w:p>
      <w:r>
        <w:rPr>
          <w:i/>
          <w:sz w:val="28"/>
        </w:rPr>
        <w:t>Centralized Identity &amp; Access Management – TOGAF ADM Phase 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Phase A - Architecture Vision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Centralized IAM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Records the current maturity of the single strategic capability in scope, informing prioritization of the migration roadmap.</w:t>
      </w:r>
    </w:p>
    <w:p>
      <w:pPr>
        <w:pStyle w:val="Heading1"/>
      </w:pPr>
      <w:r>
        <w:t>2. Capabilities Assessed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Centralized Identity &amp; Access Management</w:t>
            </w:r>
          </w:p>
        </w:tc>
      </w:tr>
    </w:tbl>
    <w:p/>
    <w:p>
      <w:pPr>
        <w:pStyle w:val="Heading1"/>
      </w:pPr>
      <w:r>
        <w:t>3. Assessment Method</w:t>
      </w:r>
    </w:p>
    <w:p>
      <w:r>
        <w:t>Assessed on a Low / Medium / High maturity scale, recorded as a “Maturity” property on the Capability element.</w:t>
      </w:r>
    </w:p>
    <w:p>
      <w:pPr>
        <w:pStyle w:val="Heading1"/>
      </w:pPr>
      <w:r>
        <w:t>4. Assessments Informing This Review</w:t>
      </w:r>
    </w:p>
    <w:p>
      <w:pPr>
        <w:pStyle w:val="ListBullet"/>
      </w:pPr>
      <w:r>
        <w:t>Current-State Identity Sprawl Assessment</w:t>
      </w:r>
    </w:p>
    <w:p>
      <w:pPr>
        <w:pStyle w:val="ListBullet"/>
      </w:pPr>
      <w:r>
        <w:t>Azure AD Readiness Assessment</w:t>
      </w:r>
    </w:p>
    <w:p>
      <w:pPr>
        <w:pStyle w:val="Heading1"/>
      </w:pPr>
      <w:r>
        <w:t>5. Next Steps</w:t>
      </w:r>
    </w:p>
    <w:p>
      <w:r>
        <w:t>Tracked through Phase F (Migration Planning) until the capability reaches target maturity.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