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Communications Plan</w:t>
      </w:r>
    </w:p>
    <w:p>
      <w:r>
        <w:rPr>
          <w:i/>
          <w:sz w:val="28"/>
        </w:rPr>
        <w:t>Centralized Identity &amp; Access Management – TOGAF ADM Phase 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A - Architecture Vision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how architecture progress is communicated to stakeholders throughout the IAM sub-project.</w:t>
      </w:r>
    </w:p>
    <w:p>
      <w:pPr>
        <w:pStyle w:val="Heading1"/>
      </w:pPr>
      <w:r>
        <w:t>2. Stakeholder Communications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Interest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IT Security Officer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Identity &amp; Access Management Lead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SAP Basis Team Lead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HR System Owner (SuccessFactors)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Finance/ERP System Owner (S/4HANA Cloud)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Data Protection Officer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Internal Audit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IT Service Desk Manager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  <w:tr>
        <w:tc>
          <w:tcPr>
            <w:tcW w:type="dxa" w:w="4320"/>
          </w:tcPr>
          <w:p>
            <w:r>
              <w:t>Azure Platform Owner</w:t>
            </w:r>
          </w:p>
        </w:tc>
        <w:tc>
          <w:tcPr>
            <w:tcW w:type="dxa" w:w="4320"/>
          </w:tcPr>
          <w:p>
            <w:r>
              <w:t>Programme outcomes, risk, and value realization relevant to their role</w:t>
            </w:r>
          </w:p>
        </w:tc>
      </w:tr>
    </w:tbl>
    <w:p/>
    <w:p>
      <w:pPr>
        <w:pStyle w:val="Heading1"/>
      </w:pPr>
      <w:r>
        <w:t>3. Cadence</w:t>
      </w:r>
    </w:p>
    <w:p>
      <w:r>
        <w:t>Architecture Board review at each phase gate; weekly status to the Program Sponsor during Phase F delivery; daily standup during the Cutover and Hypercare work package.</w:t>
      </w:r>
    </w:p>
    <w:p>
      <w:pPr>
        <w:pStyle w:val="Heading1"/>
      </w:pPr>
      <w:r>
        <w:t>4. Channels</w:t>
      </w:r>
    </w:p>
    <w:p>
      <w:pPr>
        <w:pStyle w:val="ListBullet"/>
      </w:pPr>
      <w:r>
        <w:t>Architecture Board meeting</w:t>
      </w:r>
    </w:p>
    <w:p>
      <w:pPr>
        <w:pStyle w:val="ListBullet"/>
      </w:pPr>
      <w:r>
        <w:t>Programme status report</w:t>
      </w:r>
    </w:p>
    <w:p>
      <w:pPr>
        <w:pStyle w:val="ListBullet"/>
      </w:pPr>
      <w:r>
        <w:t>Cutover war-room (hypercare 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