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Statement of Architecture Work</w:t>
      </w:r>
    </w:p>
    <w:p>
      <w:r>
        <w:rPr>
          <w:i/>
          <w:sz w:val="28"/>
        </w:rPr>
        <w:t>Centralized Identity &amp; Access Management – TOGAF ADM Phase 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A - Architecture Vision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Authorizes and scopes the architecture work for the Centralized Identity &amp; Access Management sub-project, per the Architecture Vision.</w:t>
      </w:r>
    </w:p>
    <w:p>
      <w:pPr>
        <w:pStyle w:val="Heading1"/>
      </w:pPr>
      <w:r>
        <w:t>2. Scope</w:t>
      </w:r>
    </w:p>
    <w:p>
      <w:pPr>
        <w:pStyle w:val="ListBullet"/>
      </w:pPr>
      <w:r>
        <w:t>Joiner Process</w:t>
      </w:r>
    </w:p>
    <w:p>
      <w:pPr>
        <w:pStyle w:val="ListBullet"/>
      </w:pPr>
      <w:r>
        <w:t>Mover Process</w:t>
      </w:r>
    </w:p>
    <w:p>
      <w:pPr>
        <w:pStyle w:val="ListBullet"/>
      </w:pPr>
      <w:r>
        <w:t>Leaver Process</w:t>
      </w:r>
    </w:p>
    <w:p>
      <w:pPr>
        <w:pStyle w:val="ListBullet"/>
      </w:pPr>
      <w:r>
        <w:t>Access Request and Approval Process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Achieve Single Source of Identity Truth (Azure AD)</w:t>
      </w:r>
    </w:p>
    <w:p>
      <w:pPr>
        <w:pStyle w:val="ListBullet"/>
      </w:pPr>
      <w:r>
        <w:t>Automate User Provisioning to the SAP Landscape</w:t>
      </w:r>
    </w:p>
    <w:p>
      <w:pPr>
        <w:pStyle w:val="ListBullet"/>
      </w:pPr>
      <w:r>
        <w:t>Reduce Onboarding and Offboarding Time</w:t>
      </w:r>
    </w:p>
    <w:p>
      <w:pPr>
        <w:pStyle w:val="ListBullet"/>
      </w:pPr>
      <w:r>
        <w:t>Eliminate System-Local User Management</w:t>
      </w:r>
    </w:p>
    <w:p>
      <w:pPr>
        <w:pStyle w:val="Heading1"/>
      </w:pPr>
      <w:r>
        <w:t>4. Constraints</w:t>
      </w:r>
    </w:p>
    <w:p>
      <w:pPr>
        <w:pStyle w:val="ListBullet"/>
      </w:pPr>
      <w:r>
        <w:t>Fixed Compliance Deadline for Access Governance</w:t>
      </w:r>
    </w:p>
    <w:p>
      <w:pPr>
        <w:pStyle w:val="ListBullet"/>
      </w:pPr>
      <w:r>
        <w:t>No Direct Write-Back from SAP Systems to Azure AD (One-Way Sync)</w:t>
      </w:r>
    </w:p>
    <w:p>
      <w:pPr>
        <w:pStyle w:val="ListBullet"/>
      </w:pPr>
      <w:r>
        <w:t>Production Identity Data May Not Flow to Non-Production Environments</w:t>
      </w:r>
    </w:p>
    <w:p>
      <w:pPr>
        <w:pStyle w:val="Heading1"/>
      </w:pPr>
      <w:r>
        <w:t>5. Approval</w:t>
      </w:r>
    </w:p>
    <w:p>
      <w:r>
        <w:t>Approved by the Program Sponsor and CISO on behalf of the Architecture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