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Architecture Building Blocks</w:t>
      </w:r>
    </w:p>
    <w:p>
      <w:r>
        <w:rPr>
          <w:i/>
          <w:sz w:val="28"/>
        </w:rPr>
        <w:t>Centralized Identity &amp; Access Management – TOGAF ADM Phase 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E - Opportunities and Solutions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Catalogs the Architecture Building Blocks (ABBs) – reusable, technology-agnostic building blocks – needed to realize the Target Architecture.</w:t>
      </w:r>
    </w:p>
    <w:p>
      <w:pPr>
        <w:pStyle w:val="Heading1"/>
      </w:pPr>
      <w:r>
        <w:t>2. Building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Identity Provider</w:t>
            </w:r>
          </w:p>
        </w:tc>
        <w:tc>
          <w:tcPr>
            <w:tcW w:type="dxa" w:w="4320"/>
          </w:tcPr>
          <w:p>
            <w:r>
              <w:t>Single, authoritative source of identity for the SAP landscape.</w:t>
            </w:r>
          </w:p>
        </w:tc>
      </w:tr>
      <w:tr>
        <w:tc>
          <w:tcPr>
            <w:tcW w:type="dxa" w:w="4320"/>
          </w:tcPr>
          <w:p>
            <w:r>
              <w:t>Federation / SSO Service</w:t>
            </w:r>
          </w:p>
        </w:tc>
        <w:tc>
          <w:tcPr>
            <w:tcW w:type="dxa" w:w="4320"/>
          </w:tcPr>
          <w:p>
            <w:r>
              <w:t>Federates authentication without replicating passwords.</w:t>
            </w:r>
          </w:p>
        </w:tc>
      </w:tr>
      <w:tr>
        <w:tc>
          <w:tcPr>
            <w:tcW w:type="dxa" w:w="4320"/>
          </w:tcPr>
          <w:p>
            <w:r>
              <w:t>Provisioning Service</w:t>
            </w:r>
          </w:p>
        </w:tc>
        <w:tc>
          <w:tcPr>
            <w:tcW w:type="dxa" w:w="4320"/>
          </w:tcPr>
          <w:p>
            <w:r>
              <w:t>Automates account lifecycle via SCIM.</w:t>
            </w:r>
          </w:p>
        </w:tc>
      </w:tr>
    </w:tbl>
    <w:p/>
    <w:p>
      <w:pPr>
        <w:pStyle w:val="Heading1"/>
      </w:pPr>
      <w:r>
        <w:t>3. Reuse Assessment</w:t>
      </w:r>
    </w:p>
    <w:p>
      <w:r>
        <w:t>All three ABBs are realized by existing, licensed SAP and Microsoft cloud services rather than custom build – see the Solution Building Blocks catalog for the specific product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