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Architecture Definition Document (Formal)</w:t>
      </w:r>
    </w:p>
    <w:p>
      <w:r>
        <w:rPr>
          <w:i/>
          <w:sz w:val="28"/>
        </w:rPr>
        <w:t>Centralized Identity &amp; Access Management – TOGAF ADM Phase 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E - Opportunities and Solutions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Baselined - Pending Governance Sign-off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document consolidates and formally baselines the Business, Data, Application, and Technology architectures defined across Phases B–D of the Centralized IAM sub-project, superseding the Phase A draft Architecture Definition Document.</w:t>
      </w:r>
    </w:p>
    <w:p>
      <w:pPr>
        <w:pStyle w:val="Heading1"/>
      </w:pPr>
      <w:r>
        <w:t>2. Business Architecture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Business Process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Joiner Process</w:t>
            </w:r>
          </w:p>
        </w:tc>
        <w:tc>
          <w:tcPr>
            <w:tcW w:type="dxa" w:w="4320"/>
          </w:tcPr>
          <w:p>
            <w:r>
              <w:t>Onboards a new employee identity end-to-end.</w:t>
            </w:r>
          </w:p>
        </w:tc>
      </w:tr>
      <w:tr>
        <w:tc>
          <w:tcPr>
            <w:tcW w:type="dxa" w:w="4320"/>
          </w:tcPr>
          <w:p>
            <w:r>
              <w:t>Mover Process</w:t>
            </w:r>
          </w:p>
        </w:tc>
        <w:tc>
          <w:tcPr>
            <w:tcW w:type="dxa" w:w="4320"/>
          </w:tcPr>
          <w:p>
            <w:r>
              <w:t>Updates an employee's access on role change.</w:t>
            </w:r>
          </w:p>
        </w:tc>
      </w:tr>
      <w:tr>
        <w:tc>
          <w:tcPr>
            <w:tcW w:type="dxa" w:w="4320"/>
          </w:tcPr>
          <w:p>
            <w:r>
              <w:t>Leaver Process</w:t>
            </w:r>
          </w:p>
        </w:tc>
        <w:tc>
          <w:tcPr>
            <w:tcW w:type="dxa" w:w="4320"/>
          </w:tcPr>
          <w:p>
            <w:r>
              <w:t>Deactivates an employee's identity and access on exit.</w:t>
            </w:r>
          </w:p>
        </w:tc>
      </w:tr>
      <w:tr>
        <w:tc>
          <w:tcPr>
            <w:tcW w:type="dxa" w:w="4320"/>
          </w:tcPr>
          <w:p>
            <w:r>
              <w:t>Access Request and Approval Process</w:t>
            </w:r>
          </w:p>
        </w:tc>
        <w:tc>
          <w:tcPr>
            <w:tcW w:type="dxa" w:w="4320"/>
          </w:tcPr>
          <w:p>
            <w:r>
              <w:t>Handles ad-hoc access requests outside standard lifecycle events.</w:t>
            </w:r>
          </w:p>
        </w:tc>
      </w:tr>
    </w:tbl>
    <w:p/>
    <w:p>
      <w:r>
        <w:t>All four processes realize the single strategic capability “Centralized Identity &amp; Access Management.”</w:t>
      </w:r>
    </w:p>
    <w:p>
      <w:pPr>
        <w:pStyle w:val="Heading1"/>
      </w:pPr>
      <w:r>
        <w:t>3. Data Architecture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 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User Identity Record</w:t>
            </w:r>
          </w:p>
        </w:tc>
        <w:tc>
          <w:tcPr>
            <w:tcW w:type="dxa" w:w="4320"/>
          </w:tcPr>
          <w:p>
            <w:r>
              <w:t>Core identity attributes synchronized from Azure AD.</w:t>
            </w:r>
          </w:p>
        </w:tc>
      </w:tr>
      <w:tr>
        <w:tc>
          <w:tcPr>
            <w:tcW w:type="dxa" w:w="4320"/>
          </w:tcPr>
          <w:p>
            <w:r>
              <w:t>Employee Master (SuccessFactors)</w:t>
            </w:r>
          </w:p>
        </w:tc>
        <w:tc>
          <w:tcPr>
            <w:tcW w:type="dxa" w:w="4320"/>
          </w:tcPr>
          <w:p>
            <w:r>
              <w:t>HR master data used to derive SuccessFactors user accounts.</w:t>
            </w:r>
          </w:p>
        </w:tc>
      </w:tr>
      <w:tr>
        <w:tc>
          <w:tcPr>
            <w:tcW w:type="dxa" w:w="4320"/>
          </w:tcPr>
          <w:p>
            <w:r>
              <w:t>User Account (S/4HANA Cloud)</w:t>
            </w:r>
          </w:p>
        </w:tc>
        <w:tc>
          <w:tcPr>
            <w:tcW w:type="dxa" w:w="4320"/>
          </w:tcPr>
          <w:p>
            <w:r>
              <w:t>Provisioned technical user account in S/4HANA Cloud.</w:t>
            </w:r>
          </w:p>
        </w:tc>
      </w:tr>
    </w:tbl>
    <w:p/>
    <w:p>
      <w:pPr>
        <w:pStyle w:val="Heading1"/>
      </w:pPr>
      <w:r>
        <w:t>4. Application Architecture Summary</w:t>
      </w:r>
    </w:p>
    <w:p>
      <w:r>
        <w:t>Identity source:</w:t>
      </w:r>
    </w:p>
    <w:p>
      <w:pPr>
        <w:pStyle w:val="ListBullet"/>
      </w:pPr>
      <w:r>
        <w:t>Azure Active Directory (Azure AD)</w:t>
      </w:r>
    </w:p>
    <w:p>
      <w:r>
        <w:t>Federation / SSO:</w:t>
      </w:r>
    </w:p>
    <w:p>
      <w:pPr>
        <w:pStyle w:val="ListBullet"/>
      </w:pPr>
      <w:r>
        <w:t>SAP IAS - S/4HANA</w:t>
      </w:r>
    </w:p>
    <w:p>
      <w:pPr>
        <w:pStyle w:val="ListBullet"/>
      </w:pPr>
      <w:r>
        <w:t>SAP IAS - SuccessFactors</w:t>
      </w:r>
    </w:p>
    <w:p>
      <w:r>
        <w:t>Provisioning:</w:t>
      </w:r>
    </w:p>
    <w:p>
      <w:pPr>
        <w:pStyle w:val="ListBullet"/>
      </w:pPr>
      <w:r>
        <w:t>SAP IPS - S/4HANA</w:t>
      </w:r>
    </w:p>
    <w:p>
      <w:pPr>
        <w:pStyle w:val="ListBullet"/>
      </w:pPr>
      <w:r>
        <w:t>SAP IPS - SuccessFactors</w:t>
      </w:r>
    </w:p>
    <w:p>
      <w:r>
        <w:t>Target landscape stages provisioned into:</w:t>
      </w:r>
    </w:p>
    <w:p>
      <w:pPr>
        <w:pStyle w:val="ListBullet"/>
      </w:pPr>
      <w:r>
        <w:t>SAP S/4HANA Cloud - Development</w:t>
      </w:r>
    </w:p>
    <w:p>
      <w:pPr>
        <w:pStyle w:val="ListBullet"/>
      </w:pPr>
      <w:r>
        <w:t>SAP S/4HANA Cloud - Acceptance</w:t>
      </w:r>
    </w:p>
    <w:p>
      <w:pPr>
        <w:pStyle w:val="ListBullet"/>
      </w:pPr>
      <w:r>
        <w:t>SAP S/4HANA Cloud - Production</w:t>
      </w:r>
    </w:p>
    <w:p>
      <w:pPr>
        <w:pStyle w:val="ListBullet"/>
      </w:pPr>
      <w:r>
        <w:t>SAP SuccessFactors - Development</w:t>
      </w:r>
    </w:p>
    <w:p>
      <w:pPr>
        <w:pStyle w:val="ListBullet"/>
      </w:pPr>
      <w:r>
        <w:t>SAP SuccessFactors - Acceptance</w:t>
      </w:r>
    </w:p>
    <w:p>
      <w:pPr>
        <w:pStyle w:val="ListBullet"/>
      </w:pPr>
      <w:r>
        <w:t>SAP SuccessFactors - Production</w:t>
      </w:r>
    </w:p>
    <w:p>
      <w:pPr>
        <w:pStyle w:val="Heading1"/>
      </w:pPr>
      <w:r>
        <w:t>5. Technology Architecture Summary</w:t>
      </w:r>
    </w:p>
    <w:p>
      <w:pPr>
        <w:pStyle w:val="ListBullet"/>
      </w:pPr>
      <w:r>
        <w:t>Azure Cloud Tenant – Microsoft Azure tenant hosting Azure Active Directory.</w:t>
      </w:r>
    </w:p>
    <w:p>
      <w:pPr>
        <w:pStyle w:val="ListBullet"/>
      </w:pPr>
      <w:r>
        <w:t>SAP BTP Identity Services Runtime – SAP BTP runtime hosting the SAP IAS and SAP IPS tenants.</w:t>
      </w:r>
    </w:p>
    <w:p>
      <w:pPr>
        <w:pStyle w:val="ListBullet"/>
      </w:pPr>
      <w:r>
        <w:t>Identity Federation Infrastructure Service – underlying infrastructure service supporting SSO federation and provisioning.</w:t>
      </w:r>
    </w:p>
    <w:p>
      <w:pPr>
        <w:pStyle w:val="Heading1"/>
      </w:pPr>
      <w:r>
        <w:t>6. Cross-Architecture Traceability</w:t>
      </w:r>
    </w:p>
    <w:p>
      <w:r>
        <w:t>Capability: Centralized Identity &amp; Access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Business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Object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Application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Hosting Technology</w:t>
            </w:r>
          </w:p>
        </w:tc>
      </w:tr>
      <w:tr>
        <w:tc>
          <w:tcPr>
            <w:tcW w:type="dxa" w:w="2160"/>
          </w:tcPr>
          <w:p>
            <w:r>
              <w:t>Joiner Process</w:t>
            </w:r>
          </w:p>
        </w:tc>
        <w:tc>
          <w:tcPr>
            <w:tcW w:type="dxa" w:w="2160"/>
          </w:tcPr>
          <w:p>
            <w:r>
              <w:t>User Identity Record</w:t>
            </w:r>
          </w:p>
        </w:tc>
        <w:tc>
          <w:tcPr>
            <w:tcW w:type="dxa" w:w="2160"/>
          </w:tcPr>
          <w:p>
            <w:r>
              <w:t>SAP IPS - S/4HANA / SuccessFactors</w:t>
            </w:r>
          </w:p>
        </w:tc>
        <w:tc>
          <w:tcPr>
            <w:tcW w:type="dxa" w:w="2160"/>
          </w:tcPr>
          <w:p>
            <w:r>
              <w:t>SAP BTP Identity Services Runtime</w:t>
            </w:r>
          </w:p>
        </w:tc>
      </w:tr>
      <w:tr>
        <w:tc>
          <w:tcPr>
            <w:tcW w:type="dxa" w:w="2160"/>
          </w:tcPr>
          <w:p>
            <w:r>
              <w:t>Mover Process</w:t>
            </w:r>
          </w:p>
        </w:tc>
        <w:tc>
          <w:tcPr>
            <w:tcW w:type="dxa" w:w="2160"/>
          </w:tcPr>
          <w:p>
            <w:r>
              <w:t>User Identity Record</w:t>
            </w:r>
          </w:p>
        </w:tc>
        <w:tc>
          <w:tcPr>
            <w:tcW w:type="dxa" w:w="2160"/>
          </w:tcPr>
          <w:p>
            <w:r>
              <w:t>SAP IPS - S/4HANA / SuccessFactors</w:t>
            </w:r>
          </w:p>
        </w:tc>
        <w:tc>
          <w:tcPr>
            <w:tcW w:type="dxa" w:w="2160"/>
          </w:tcPr>
          <w:p>
            <w:r>
              <w:t>SAP BTP Identity Services Runtime</w:t>
            </w:r>
          </w:p>
        </w:tc>
      </w:tr>
      <w:tr>
        <w:tc>
          <w:tcPr>
            <w:tcW w:type="dxa" w:w="2160"/>
          </w:tcPr>
          <w:p>
            <w:r>
              <w:t>Leaver Process</w:t>
            </w:r>
          </w:p>
        </w:tc>
        <w:tc>
          <w:tcPr>
            <w:tcW w:type="dxa" w:w="2160"/>
          </w:tcPr>
          <w:p>
            <w:r>
              <w:t>User Identity Record</w:t>
            </w:r>
          </w:p>
        </w:tc>
        <w:tc>
          <w:tcPr>
            <w:tcW w:type="dxa" w:w="2160"/>
          </w:tcPr>
          <w:p>
            <w:r>
              <w:t>SAP IPS - S/4HANA / SuccessFactors</w:t>
            </w:r>
          </w:p>
        </w:tc>
        <w:tc>
          <w:tcPr>
            <w:tcW w:type="dxa" w:w="2160"/>
          </w:tcPr>
          <w:p>
            <w:r>
              <w:t>SAP BTP Identity Services Runtime</w:t>
            </w:r>
          </w:p>
        </w:tc>
      </w:tr>
      <w:tr>
        <w:tc>
          <w:tcPr>
            <w:tcW w:type="dxa" w:w="2160"/>
          </w:tcPr>
          <w:p>
            <w:r>
              <w:t>Access Request and Approval Process</w:t>
            </w:r>
          </w:p>
        </w:tc>
        <w:tc>
          <w:tcPr>
            <w:tcW w:type="dxa" w:w="2160"/>
          </w:tcPr>
          <w:p>
            <w:r>
              <w:t>User Account (S/4HANA Cloud)</w:t>
            </w:r>
          </w:p>
        </w:tc>
        <w:tc>
          <w:tcPr>
            <w:tcW w:type="dxa" w:w="2160"/>
          </w:tcPr>
          <w:p>
            <w:r>
              <w:t>SAP IAS - S/4HANA</w:t>
            </w:r>
          </w:p>
        </w:tc>
        <w:tc>
          <w:tcPr>
            <w:tcW w:type="dxa" w:w="2160"/>
          </w:tcPr>
          <w:p>
            <w:r>
              <w:t>SAP BTP Identity Services Runtime</w:t>
            </w:r>
          </w:p>
        </w:tc>
      </w:tr>
    </w:tbl>
    <w:p/>
    <w:p>
      <w:pPr>
        <w:pStyle w:val="Heading1"/>
      </w:pPr>
      <w:r>
        <w:t>7. Baseline vs. Target Plateau Recap</w:t>
      </w:r>
    </w:p>
    <w:p>
      <w:r>
        <w:t>Baseline Architecture (Decentralized User Management): each system manages its own local user store per landscape stage. Target Architecture (Centralized User Management via Azure AD): Azure AD is the single master identity source, federated via SAP IAS for SSO and provisioned via SAP IPS.</w:t>
      </w:r>
    </w:p>
    <w:p>
      <w:pPr>
        <w:pStyle w:val="Heading1"/>
      </w:pPr>
      <w:r>
        <w:t>8. Baseline Statement</w:t>
      </w:r>
    </w:p>
    <w:p>
      <w:r>
        <w:t>This Architecture Definition Document is submitted for architecture governance sign-off as the formal baseline for Phases F–H. Once approved, changes are managed through the Phase H Change Request process rather than direct edits to this document.</w:t>
      </w:r>
    </w:p>
    <w:p>
      <w:pPr>
        <w:pStyle w:val="Heading1"/>
      </w:pPr>
      <w:r>
        <w:t>9. Next Steps</w:t>
      </w:r>
    </w:p>
    <w:p>
      <w:r>
        <w:t>On sign-off, the programme proceeds to detailed work package sequencing in the Phase F Implementation and Migration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