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Solution Building Blocks</w:t>
      </w:r>
    </w:p>
    <w:p>
      <w:r>
        <w:rPr>
          <w:i/>
          <w:sz w:val="28"/>
        </w:rPr>
        <w:t>Centralized Identity &amp; Access Management – TOGAF ADM Phase 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E - Opportunities and Solutions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Maps each Architecture Building Block to the concrete Solution Building Block (SBB) that realizes it.</w:t>
      </w:r>
    </w:p>
    <w:p>
      <w:pPr>
        <w:pStyle w:val="Heading1"/>
      </w:pPr>
      <w:r>
        <w:t>2. ABB-to-SBB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Architecture Building 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 Building Block</w:t>
            </w:r>
          </w:p>
        </w:tc>
      </w:tr>
      <w:tr>
        <w:tc>
          <w:tcPr>
            <w:tcW w:type="dxa" w:w="4320"/>
          </w:tcPr>
          <w:p>
            <w:r>
              <w:t>Identity Provider</w:t>
            </w:r>
          </w:p>
        </w:tc>
        <w:tc>
          <w:tcPr>
            <w:tcW w:type="dxa" w:w="4320"/>
          </w:tcPr>
          <w:p>
            <w:r>
              <w:t>Azure Active Directory (Azure AD)</w:t>
            </w:r>
          </w:p>
        </w:tc>
      </w:tr>
      <w:tr>
        <w:tc>
          <w:tcPr>
            <w:tcW w:type="dxa" w:w="4320"/>
          </w:tcPr>
          <w:p>
            <w:r>
              <w:t>Federation / SSO Service</w:t>
            </w:r>
          </w:p>
        </w:tc>
        <w:tc>
          <w:tcPr>
            <w:tcW w:type="dxa" w:w="4320"/>
          </w:tcPr>
          <w:p>
            <w:r>
              <w:t>SAP IAS - S/4HANA; SAP IAS - SuccessFactors</w:t>
            </w:r>
          </w:p>
        </w:tc>
      </w:tr>
      <w:tr>
        <w:tc>
          <w:tcPr>
            <w:tcW w:type="dxa" w:w="4320"/>
          </w:tcPr>
          <w:p>
            <w:r>
              <w:t>Provisioning Service</w:t>
            </w:r>
          </w:p>
        </w:tc>
        <w:tc>
          <w:tcPr>
            <w:tcW w:type="dxa" w:w="4320"/>
          </w:tcPr>
          <w:p>
            <w:r>
              <w:t>SAP IPS - S/4HANA; SAP IPS - SuccessFactors</w:t>
            </w:r>
          </w:p>
        </w:tc>
      </w:tr>
    </w:tbl>
    <w:p/>
    <w:p>
      <w:pPr>
        <w:pStyle w:val="Heading1"/>
      </w:pPr>
      <w:r>
        <w:t>3. Sourcing</w:t>
      </w:r>
    </w:p>
    <w:p>
      <w:r>
        <w:t>All solution building blocks are sourced from existing SAP BTP and Microsoft Azure subscriptions; no new procurement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