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SAP RISE with SAP S/4HANA Cloud</w:t>
      </w:r>
    </w:p>
    <w:p>
      <w:r>
        <w:rPr>
          <w:b/>
          <w:sz w:val="56"/>
        </w:rPr>
        <w:t>Compliance Assessment Report</w:t>
      </w:r>
    </w:p>
    <w:p>
      <w:r>
        <w:rPr>
          <w:i/>
          <w:sz w:val="28"/>
        </w:rPr>
        <w:t>Centralized Identity &amp; Access Management – TOGAF ADM Phase 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Programme</w:t>
            </w:r>
          </w:p>
        </w:tc>
        <w:tc>
          <w:tcPr>
            <w:tcW w:type="dxa" w:w="4320"/>
          </w:tcPr>
          <w:p>
            <w:r>
              <w:t>SAP RISE with SAP S/4HANA Cloud – Enterprise Transformation</w:t>
            </w:r>
          </w:p>
        </w:tc>
      </w:tr>
      <w:tr>
        <w:tc>
          <w:tcPr>
            <w:tcW w:type="dxa" w:w="4320"/>
          </w:tcPr>
          <w:p>
            <w:r>
              <w:t>TOGAF ADM Phase</w:t>
            </w:r>
          </w:p>
        </w:tc>
        <w:tc>
          <w:tcPr>
            <w:tcW w:type="dxa" w:w="4320"/>
          </w:tcPr>
          <w:p>
            <w:r>
              <w:t>Phase G - Implementation Governance</w:t>
            </w:r>
          </w:p>
        </w:tc>
      </w:tr>
      <w:tr>
        <w:tc>
          <w:tcPr>
            <w:tcW w:type="dxa" w:w="4320"/>
          </w:tcPr>
          <w:p>
            <w:r>
              <w:t>Architecture Repository</w:t>
            </w:r>
          </w:p>
        </w:tc>
        <w:tc>
          <w:tcPr>
            <w:tcW w:type="dxa" w:w="4320"/>
          </w:tcPr>
          <w:p>
            <w:r>
              <w:t>SAP Centralized IAM Repository (ArchiMate 3.x model)</w:t>
            </w:r>
          </w:p>
        </w:tc>
      </w:tr>
      <w:tr>
        <w:tc>
          <w:tcPr>
            <w:tcW w:type="dxa" w:w="4320"/>
          </w:tcPr>
          <w:p>
            <w:r>
              <w:t>Document Status</w:t>
            </w:r>
          </w:p>
        </w:tc>
        <w:tc>
          <w:tcPr>
            <w:tcW w:type="dxa" w:w="4320"/>
          </w:tcPr>
          <w:p>
            <w:r>
              <w:t>Draft for Review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2026-08-14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Enterprise Architecture Team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Internal</w:t>
            </w:r>
          </w:p>
        </w:tc>
      </w:tr>
    </w:tbl>
    <w:p/>
    <w:p>
      <w:pPr>
        <w:pStyle w:val="Heading1"/>
      </w:pPr>
      <w:r>
        <w:t>1. Purpose</w:t>
      </w:r>
    </w:p>
    <w:p>
      <w:r>
        <w:t>Verifies that delivered work packages conform to the Architecture Requirements Specification and Architecture Principles.</w:t>
      </w:r>
    </w:p>
    <w:p>
      <w:pPr>
        <w:pStyle w:val="Heading1"/>
      </w:pPr>
      <w:r>
        <w:t>2. Requirements 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Ref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REQ-1</w:t>
            </w:r>
          </w:p>
        </w:tc>
        <w:tc>
          <w:tcPr>
            <w:tcW w:type="dxa" w:w="2880"/>
          </w:tcPr>
          <w:p>
            <w:r>
              <w:t>System shall provision users automatically from Azure AD via SAP Cloud Identity Services</w:t>
            </w:r>
          </w:p>
        </w:tc>
        <w:tc>
          <w:tcPr>
            <w:tcW w:type="dxa" w:w="2880"/>
          </w:tcPr>
          <w:p>
            <w:r>
              <w:t>To be assessed at go-live</w:t>
            </w:r>
          </w:p>
        </w:tc>
      </w:tr>
      <w:tr>
        <w:tc>
          <w:tcPr>
            <w:tcW w:type="dxa" w:w="2880"/>
          </w:tcPr>
          <w:p>
            <w:r>
              <w:t>REQ-2</w:t>
            </w:r>
          </w:p>
        </w:tc>
        <w:tc>
          <w:tcPr>
            <w:tcW w:type="dxa" w:w="2880"/>
          </w:tcPr>
          <w:p>
            <w:r>
              <w:t>System shall support SCIM-based provisioning through SAP IPS</w:t>
            </w:r>
          </w:p>
        </w:tc>
        <w:tc>
          <w:tcPr>
            <w:tcW w:type="dxa" w:w="2880"/>
          </w:tcPr>
          <w:p>
            <w:r>
              <w:t>To be assessed at go-live</w:t>
            </w:r>
          </w:p>
        </w:tc>
      </w:tr>
      <w:tr>
        <w:tc>
          <w:tcPr>
            <w:tcW w:type="dxa" w:w="2880"/>
          </w:tcPr>
          <w:p>
            <w:r>
              <w:t>REQ-3</w:t>
            </w:r>
          </w:p>
        </w:tc>
        <w:tc>
          <w:tcPr>
            <w:tcW w:type="dxa" w:w="2880"/>
          </w:tcPr>
          <w:p>
            <w:r>
              <w:t>System shall enforce Single Sign-On via SAP IAS for all SAP applications</w:t>
            </w:r>
          </w:p>
        </w:tc>
        <w:tc>
          <w:tcPr>
            <w:tcW w:type="dxa" w:w="2880"/>
          </w:tcPr>
          <w:p>
            <w:r>
              <w:t>To be assessed at go-live</w:t>
            </w:r>
          </w:p>
        </w:tc>
      </w:tr>
      <w:tr>
        <w:tc>
          <w:tcPr>
            <w:tcW w:type="dxa" w:w="2880"/>
          </w:tcPr>
          <w:p>
            <w:r>
              <w:t>REQ-4</w:t>
            </w:r>
          </w:p>
        </w:tc>
        <w:tc>
          <w:tcPr>
            <w:tcW w:type="dxa" w:w="2880"/>
          </w:tcPr>
          <w:p>
            <w:r>
              <w:t>System shall maintain identity isolation per landscape stage (Development / Acceptance / Production)</w:t>
            </w:r>
          </w:p>
        </w:tc>
        <w:tc>
          <w:tcPr>
            <w:tcW w:type="dxa" w:w="2880"/>
          </w:tcPr>
          <w:p>
            <w:r>
              <w:t>To be assessed at go-live</w:t>
            </w:r>
          </w:p>
        </w:tc>
      </w:tr>
      <w:tr>
        <w:tc>
          <w:tcPr>
            <w:tcW w:type="dxa" w:w="2880"/>
          </w:tcPr>
          <w:p>
            <w:r>
              <w:t>REQ-5</w:t>
            </w:r>
          </w:p>
        </w:tc>
        <w:tc>
          <w:tcPr>
            <w:tcW w:type="dxa" w:w="2880"/>
          </w:tcPr>
          <w:p>
            <w:r>
              <w:t>System shall de-provision (deactivate) users within 24 hours of Azure AD deactivation</w:t>
            </w:r>
          </w:p>
        </w:tc>
        <w:tc>
          <w:tcPr>
            <w:tcW w:type="dxa" w:w="2880"/>
          </w:tcPr>
          <w:p>
            <w:r>
              <w:t>To be assessed at go-live</w:t>
            </w:r>
          </w:p>
        </w:tc>
      </w:tr>
      <w:tr>
        <w:tc>
          <w:tcPr>
            <w:tcW w:type="dxa" w:w="2880"/>
          </w:tcPr>
          <w:p>
            <w:r>
              <w:t>REQ-6</w:t>
            </w:r>
          </w:p>
        </w:tc>
        <w:tc>
          <w:tcPr>
            <w:tcW w:type="dxa" w:w="2880"/>
          </w:tcPr>
          <w:p>
            <w:r>
              <w:t>System shall log all identity lifecycle events for audit purposes</w:t>
            </w:r>
          </w:p>
        </w:tc>
        <w:tc>
          <w:tcPr>
            <w:tcW w:type="dxa" w:w="2880"/>
          </w:tcPr>
          <w:p>
            <w:r>
              <w:t>To be assessed at go-live</w:t>
            </w:r>
          </w:p>
        </w:tc>
      </w:tr>
      <w:tr>
        <w:tc>
          <w:tcPr>
            <w:tcW w:type="dxa" w:w="2880"/>
          </w:tcPr>
          <w:p>
            <w:r>
              <w:t>REQ-7</w:t>
            </w:r>
          </w:p>
        </w:tc>
        <w:tc>
          <w:tcPr>
            <w:tcW w:type="dxa" w:w="2880"/>
          </w:tcPr>
          <w:p>
            <w:r>
              <w:t>System shall support role-based access assignment during provisioning</w:t>
            </w:r>
          </w:p>
        </w:tc>
        <w:tc>
          <w:tcPr>
            <w:tcW w:type="dxa" w:w="2880"/>
          </w:tcPr>
          <w:p>
            <w:r>
              <w:t>To be assessed at go-live</w:t>
            </w:r>
          </w:p>
        </w:tc>
      </w:tr>
    </w:tbl>
    <w:p/>
    <w:p>
      <w:pPr>
        <w:pStyle w:val="Heading1"/>
      </w:pPr>
      <w:r>
        <w:t>3. Principles Compliance</w:t>
      </w:r>
    </w:p>
    <w:p>
      <w:pPr>
        <w:pStyle w:val="ListBullet"/>
      </w:pPr>
      <w:r>
        <w:t>Azure AD is the Single Master Source of Identity — to be assessed at go-live</w:t>
      </w:r>
    </w:p>
    <w:p>
      <w:pPr>
        <w:pStyle w:val="ListBullet"/>
      </w:pPr>
      <w:r>
        <w:t>Provisioning is Automated, Not Manual — to be assessed at go-live</w:t>
      </w:r>
    </w:p>
    <w:p>
      <w:pPr>
        <w:pStyle w:val="ListBullet"/>
      </w:pPr>
      <w:r>
        <w:t>Environments Remain Isolated (Development / Acceptance / Production) — to be assessed at go-live</w:t>
      </w:r>
    </w:p>
    <w:p>
      <w:pPr>
        <w:pStyle w:val="ListBullet"/>
      </w:pPr>
      <w:r>
        <w:t>Federate Authentication – Do Not Replicate Passwords — to be assessed at go-live</w:t>
      </w:r>
    </w:p>
    <w:p>
      <w:pPr>
        <w:pStyle w:val="Heading1"/>
      </w:pPr>
      <w:r>
        <w:t>4. Outcome</w:t>
      </w:r>
    </w:p>
    <w:p>
      <w:r>
        <w:t>Repeated before go-live; non-compliant items are raised as a Gap or a Change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