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Implementation Governance Model</w:t>
      </w:r>
    </w:p>
    <w:p>
      <w:r>
        <w:rPr>
          <w:i/>
          <w:sz w:val="28"/>
        </w:rPr>
        <w:t>Centralized Identity &amp; Access Management – TOGAF ADM Phase 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G - Implementation Governance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how conformance to the Target Architecture is governed during and after implementation of the 9 work packages.</w:t>
      </w:r>
    </w:p>
    <w:p>
      <w:pPr>
        <w:pStyle w:val="Heading1"/>
      </w:pPr>
      <w:r>
        <w:t>2. Governance Structure</w:t>
      </w:r>
    </w:p>
    <w:p>
      <w:r>
        <w:t>The Architecture Board reviews each work package before build and again before it is marked complete; the CISO and Data Protection Officer co-sign any deviation from the four Architecture Principles.</w:t>
      </w:r>
    </w:p>
    <w:p>
      <w:pPr>
        <w:pStyle w:val="Heading1"/>
      </w:pPr>
      <w:r>
        <w:t>3. Review Cadence</w:t>
      </w:r>
    </w:p>
    <w:p>
      <w:r>
        <w:t>Weekly during active delivery; daily during the Cutover and Hypercare work package.</w:t>
      </w:r>
    </w:p>
    <w:p>
      <w:pPr>
        <w:pStyle w:val="Heading1"/>
      </w:pPr>
      <w:r>
        <w:t>4. Escalation Path</w:t>
      </w:r>
    </w:p>
    <w:p>
      <w:r>
        <w:t>Work Package owner → Identity &amp; Access Management Lead → Architecture Board → Program Sponsor.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