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Change Request</w:t>
      </w:r>
    </w:p>
    <w:p>
      <w:r>
        <w:rPr>
          <w:i/>
          <w:sz w:val="28"/>
        </w:rPr>
        <w:t>Centralized Identity &amp; Access Management – TOGAF ADM Phase 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H - Architecture Change Management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Change Summary</w:t>
      </w:r>
    </w:p>
    <w:p>
      <w:r>
        <w:t>This Change Request template records proposed changes to the Centralized IAM sub-project raised after the Target Architecture has been approved.</w:t>
      </w:r>
    </w:p>
    <w:p>
      <w:pPr>
        <w:pStyle w:val="Heading1"/>
      </w:pPr>
      <w:r>
        <w:t>2. Change Register (Illustrative)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Related Gap / 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CR-1</w:t>
            </w:r>
          </w:p>
        </w:tc>
        <w:tc>
          <w:tcPr>
            <w:tcW w:type="dxa" w:w="2880"/>
          </w:tcPr>
          <w:p>
            <w:r>
              <w:t>Decentralized User Management Gap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CR-2</w:t>
            </w:r>
          </w:p>
        </w:tc>
        <w:tc>
          <w:tcPr>
            <w:tcW w:type="dxa" w:w="2880"/>
          </w:tcPr>
          <w:p>
            <w:r>
              <w:t>Manual Provisioning Gap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CR-3</w:t>
            </w:r>
          </w:p>
        </w:tc>
        <w:tc>
          <w:tcPr>
            <w:tcW w:type="dxa" w:w="2880"/>
          </w:tcPr>
          <w:p>
            <w:r>
              <w:t>Inconsistent Access Governance Gap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CR-4</w:t>
            </w:r>
          </w:p>
        </w:tc>
        <w:tc>
          <w:tcPr>
            <w:tcW w:type="dxa" w:w="2880"/>
          </w:tcPr>
          <w:p>
            <w:r>
              <w:t>Risk: Incomplete or Inaccurate Azure AD Attribute Data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CR-5</w:t>
            </w:r>
          </w:p>
        </w:tc>
        <w:tc>
          <w:tcPr>
            <w:tcW w:type="dxa" w:w="2880"/>
          </w:tcPr>
          <w:p>
            <w:r>
              <w:t>Risk: SCIM Mapping Errors Between Azure AD and SAP Fields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CR-6</w:t>
            </w:r>
          </w:p>
        </w:tc>
        <w:tc>
          <w:tcPr>
            <w:tcW w:type="dxa" w:w="2880"/>
          </w:tcPr>
          <w:p>
            <w:r>
              <w:t>Risk: Parallel-Run Complexity During Cutover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CR-7</w:t>
            </w:r>
          </w:p>
        </w:tc>
        <w:tc>
          <w:tcPr>
            <w:tcW w:type="dxa" w:w="2880"/>
          </w:tcPr>
          <w:p>
            <w:r>
              <w:t>Risk: Fixed Compliance Deadline Overrun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</w:tbl>
    <w:p/>
    <w:p>
      <w:pPr>
        <w:pStyle w:val="Heading1"/>
      </w:pPr>
      <w:r>
        <w:t>3. Impact Assessment</w:t>
      </w:r>
    </w:p>
    <w:p>
      <w:r>
        <w:t>Each Change Request is evaluated via the Requirements Impact Assessment before being approved and scheduled into a Work Package.</w:t>
      </w:r>
    </w:p>
    <w:p>
      <w:pPr>
        <w:pStyle w:val="Heading1"/>
      </w:pPr>
      <w:r>
        <w:t>4.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Raised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r>
              <w:t>Architecture Board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Pending review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