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Architecture Repository</w:t>
      </w:r>
    </w:p>
    <w:p>
      <w:r>
        <w:rPr>
          <w:i/>
          <w:sz w:val="28"/>
        </w:rPr>
        <w:t>Centralized Identity &amp; Access Management – TOGAF Preliminary Phase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Preliminary Phase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Describes where and how the architecture artifacts for the Centralized IAM sub-project are stored and maintained.</w:t>
      </w:r>
    </w:p>
    <w:p>
      <w:pPr>
        <w:pStyle w:val="Heading1"/>
      </w:pPr>
      <w:r>
        <w:t>2. Repository Location</w:t>
      </w:r>
    </w:p>
    <w:p>
      <w:r>
        <w:t>The ArchiMate model (SAP_IAM_Centralization_Repository.xml and its per-phase extracts) is maintained under C:\Archimate Repository\SAP Centralized IAM Repository\, with Documentation and Models kept in sync via the sync_to_repository.py / sync_from_repository.py tooling.</w:t>
      </w:r>
    </w:p>
    <w:p>
      <w:pPr>
        <w:pStyle w:val="Heading1"/>
      </w:pPr>
      <w:r>
        <w:t>3. Content Structure</w:t>
      </w:r>
    </w:p>
    <w:p>
      <w:pPr>
        <w:pStyle w:val="ListBullet"/>
      </w:pPr>
      <w:r>
        <w:t>Models\ – one master ArchiMate model plus one extract per ADM phase.</w:t>
      </w:r>
    </w:p>
    <w:p>
      <w:pPr>
        <w:pStyle w:val="ListBullet"/>
      </w:pPr>
      <w:r>
        <w:t>Documentation\ – 8 core numbered deliverables plus TOGAF_Catalog_IAM_* catalog artifacts.</w:t>
      </w:r>
    </w:p>
    <w:p>
      <w:pPr>
        <w:pStyle w:val="Heading1"/>
      </w:pPr>
      <w:r>
        <w:t>4. Governance</w:t>
      </w:r>
    </w:p>
    <w:p>
      <w:r>
        <w:t>Changes to the repository are reviewed by the Architecture Board and tracked through the Phase H Change Request process once the Target Architecture is baselined.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