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Organizational Model for Enterprise Architecture</w:t>
      </w:r>
    </w:p>
    <w:p>
      <w:r>
        <w:rPr>
          <w:i/>
          <w:sz w:val="28"/>
        </w:rPr>
        <w:t>Centralized Identity &amp; Access Management – TOGAF Preliminary Phase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Preliminary Phase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deliverable defines the organizational model for the Enterprise Architecture function governing the Centralized Identity &amp; Access Management (IAM) sub-project.</w:t>
      </w:r>
    </w:p>
    <w:p>
      <w:pPr>
        <w:pStyle w:val="Heading1"/>
      </w:pPr>
      <w:r>
        <w:t>2. Governance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Governance Responsibility</w:t>
            </w:r>
          </w:p>
        </w:tc>
      </w:tr>
      <w:tr>
        <w:tc>
          <w:tcPr>
            <w:tcW w:type="dxa" w:w="4320"/>
          </w:tcPr>
          <w:p>
            <w:r>
              <w:t>CISO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IT Security Officer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Identity &amp; Access Management Lead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SAP Basis Team Lead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HR System Owner (SuccessFactors)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Finance/ERP System Owner (S/4HANA Cloud)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Data Protection Officer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Internal Audit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IT Service Desk Manager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  <w:tr>
        <w:tc>
          <w:tcPr>
            <w:tcW w:type="dxa" w:w="4320"/>
          </w:tcPr>
          <w:p>
            <w:r>
              <w:t>Azure Platform Owner</w:t>
            </w:r>
          </w:p>
        </w:tc>
        <w:tc>
          <w:tcPr>
            <w:tcW w:type="dxa" w:w="4320"/>
          </w:tcPr>
          <w:p>
            <w:r>
              <w:t>Architecture governance and decision rights relevant to their role</w:t>
            </w:r>
          </w:p>
        </w:tc>
      </w:tr>
    </w:tbl>
    <w:p/>
    <w:p>
      <w:pPr>
        <w:pStyle w:val="Heading1"/>
      </w:pPr>
      <w:r>
        <w:t>3. Architecture Board</w:t>
      </w:r>
    </w:p>
    <w:p>
      <w:r>
        <w:t>An Architecture Board, drawn from the stakeholders above and chaired by the Identity &amp; Access Management Lead, reviews architecture deliverables at the end of each ADM phase and approves transition from the Baseline to the Target Architecture plateau.</w:t>
      </w:r>
    </w:p>
    <w:p>
      <w:pPr>
        <w:pStyle w:val="Heading1"/>
      </w:pPr>
      <w:r>
        <w:t>4. Skills and Resourcing</w:t>
      </w:r>
    </w:p>
    <w:p>
      <w:r>
        <w:t>Delivery draws on the SAP Basis Team, the Identity &amp; Access Management Lead's team, and the Azure Platform Owner's team; the IT Service Desk Manager resources the hypercare period covered by the Cutover and Hypercare work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