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Request for Architecture Work</w:t>
      </w:r>
    </w:p>
    <w:p>
      <w:r>
        <w:rPr>
          <w:i/>
          <w:sz w:val="28"/>
        </w:rPr>
        <w:t>Centralized Identity &amp; Access Management – TOGAF Preliminary Phase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Preliminary Phase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This Request for Architecture Work formally commissions the Centralized Identity &amp; Access Management (IAM) sub-project under the SAP RISE with SAP S/4HANA Cloud programme.</w:t>
      </w:r>
    </w:p>
    <w:p>
      <w:pPr>
        <w:pStyle w:val="Heading1"/>
      </w:pPr>
      <w:r>
        <w:t>2. Sponsor</w:t>
      </w:r>
    </w:p>
    <w:p>
      <w:r>
        <w:t>Program Sponsor, on behalf of the CISO and Identity &amp; Access Management Lead.</w:t>
      </w:r>
    </w:p>
    <w:p>
      <w:pPr>
        <w:pStyle w:val="Heading1"/>
      </w:pPr>
      <w:r>
        <w:t>3. Scope</w:t>
      </w:r>
    </w:p>
    <w:p>
      <w:r>
        <w:t>Centralize identity administration for SAP S/4HANA Cloud and SAP SuccessFactors (each spanning Development, Acceptance, and Production) around Microsoft Azure Active Directory, federated via SAP IAS and provisioned via SAP IPS.</w:t>
      </w:r>
    </w:p>
    <w:p>
      <w:pPr>
        <w:pStyle w:val="Heading1"/>
      </w:pPr>
      <w:r>
        <w:t>4. Business Drivers</w:t>
      </w:r>
    </w:p>
    <w:p>
      <w:pPr>
        <w:pStyle w:val="ListBullet"/>
      </w:pPr>
      <w:r>
        <w:t>Reduce Identity Sprawl Across the SAP Landscape</w:t>
      </w:r>
    </w:p>
    <w:p>
      <w:pPr>
        <w:pStyle w:val="ListBullet"/>
      </w:pPr>
      <w:r>
        <w:t>Improve Security Posture and Reduce Attack Surface</w:t>
      </w:r>
    </w:p>
    <w:p>
      <w:pPr>
        <w:pStyle w:val="ListBullet"/>
      </w:pPr>
      <w:r>
        <w:t>Enable Automated Joiner-Mover-Leaver Process</w:t>
      </w:r>
    </w:p>
    <w:p>
      <w:pPr>
        <w:pStyle w:val="ListBullet"/>
      </w:pPr>
      <w:r>
        <w:t>Ensure Compliance with Access Governance Policy</w:t>
      </w:r>
    </w:p>
    <w:p>
      <w:pPr>
        <w:pStyle w:val="ListBullet"/>
      </w:pPr>
      <w:r>
        <w:t>Reduce Manual User Administration Effort</w:t>
      </w:r>
    </w:p>
    <w:p>
      <w:pPr>
        <w:pStyle w:val="Heading1"/>
      </w:pPr>
      <w:r>
        <w:t>5. Constraints</w:t>
      </w:r>
    </w:p>
    <w:p>
      <w:pPr>
        <w:pStyle w:val="ListBullet"/>
      </w:pPr>
      <w:r>
        <w:t>Fixed Compliance Deadline for Access Governance</w:t>
      </w:r>
    </w:p>
    <w:p>
      <w:pPr>
        <w:pStyle w:val="ListBullet"/>
      </w:pPr>
      <w:r>
        <w:t>No Direct Write-Back from SAP Systems to Azure AD (One-Way Sync)</w:t>
      </w:r>
    </w:p>
    <w:p>
      <w:pPr>
        <w:pStyle w:val="ListBullet"/>
      </w:pPr>
      <w:r>
        <w:t>Production Identity Data May Not Flow to Non-Production Environments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