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SAP RISE with SAP S/4HANA Cloud</w:t>
      </w:r>
    </w:p>
    <w:p>
      <w:r>
        <w:rPr>
          <w:b/>
          <w:sz w:val="56"/>
        </w:rPr>
        <w:t>Tailored Architecture Framework</w:t>
      </w:r>
    </w:p>
    <w:p>
      <w:r>
        <w:rPr>
          <w:i/>
          <w:sz w:val="28"/>
        </w:rPr>
        <w:t>Centralized Identity &amp; Access Management – TOGAF Preliminary Phase</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Programme</w:t>
            </w:r>
          </w:p>
        </w:tc>
        <w:tc>
          <w:tcPr>
            <w:tcW w:type="dxa" w:w="4320"/>
          </w:tcPr>
          <w:p>
            <w:r>
              <w:t>SAP RISE with SAP S/4HANA Cloud – Enterprise Transformation</w:t>
            </w:r>
          </w:p>
        </w:tc>
      </w:tr>
      <w:tr>
        <w:tc>
          <w:tcPr>
            <w:tcW w:type="dxa" w:w="4320"/>
          </w:tcPr>
          <w:p>
            <w:r>
              <w:t>TOGAF ADM Phase</w:t>
            </w:r>
          </w:p>
        </w:tc>
        <w:tc>
          <w:tcPr>
            <w:tcW w:type="dxa" w:w="4320"/>
          </w:tcPr>
          <w:p>
            <w:r>
              <w:t>Preliminary Phase</w:t>
            </w:r>
          </w:p>
        </w:tc>
      </w:tr>
      <w:tr>
        <w:tc>
          <w:tcPr>
            <w:tcW w:type="dxa" w:w="4320"/>
          </w:tcPr>
          <w:p>
            <w:r>
              <w:t>Architecture Repository</w:t>
            </w:r>
          </w:p>
        </w:tc>
        <w:tc>
          <w:tcPr>
            <w:tcW w:type="dxa" w:w="4320"/>
          </w:tcPr>
          <w:p>
            <w:r>
              <w:t>SAP Centralized IAM Repository (ArchiMate 3.x model)</w:t>
            </w:r>
          </w:p>
        </w:tc>
      </w:tr>
      <w:tr>
        <w:tc>
          <w:tcPr>
            <w:tcW w:type="dxa" w:w="4320"/>
          </w:tcPr>
          <w:p>
            <w:r>
              <w:t>Document Status</w:t>
            </w:r>
          </w:p>
        </w:tc>
        <w:tc>
          <w:tcPr>
            <w:tcW w:type="dxa" w:w="4320"/>
          </w:tcPr>
          <w:p>
            <w:r>
              <w:t>Draft for Review</w:t>
            </w:r>
          </w:p>
        </w:tc>
      </w:tr>
      <w:tr>
        <w:tc>
          <w:tcPr>
            <w:tcW w:type="dxa" w:w="4320"/>
          </w:tcPr>
          <w:p>
            <w:r>
              <w:t>Version</w:t>
            </w:r>
          </w:p>
        </w:tc>
        <w:tc>
          <w:tcPr>
            <w:tcW w:type="dxa" w:w="4320"/>
          </w:tcPr>
          <w:p>
            <w:r>
              <w:t>0.1</w:t>
            </w:r>
          </w:p>
        </w:tc>
      </w:tr>
      <w:tr>
        <w:tc>
          <w:tcPr>
            <w:tcW w:type="dxa" w:w="4320"/>
          </w:tcPr>
          <w:p>
            <w:r>
              <w:t>Date</w:t>
            </w:r>
          </w:p>
        </w:tc>
        <w:tc>
          <w:tcPr>
            <w:tcW w:type="dxa" w:w="4320"/>
          </w:tcPr>
          <w:p>
            <w:r>
              <w:t>2026-08-14</w:t>
            </w:r>
          </w:p>
        </w:tc>
      </w:tr>
      <w:tr>
        <w:tc>
          <w:tcPr>
            <w:tcW w:type="dxa" w:w="4320"/>
          </w:tcPr>
          <w:p>
            <w:r>
              <w:t>Prepared By</w:t>
            </w:r>
          </w:p>
        </w:tc>
        <w:tc>
          <w:tcPr>
            <w:tcW w:type="dxa" w:w="4320"/>
          </w:tcPr>
          <w:p>
            <w:r>
              <w:t>Enterprise Architecture Team</w:t>
            </w:r>
          </w:p>
        </w:tc>
      </w:tr>
      <w:tr>
        <w:tc>
          <w:tcPr>
            <w:tcW w:type="dxa" w:w="4320"/>
          </w:tcPr>
          <w:p>
            <w:r>
              <w:t>Classification</w:t>
            </w:r>
          </w:p>
        </w:tc>
        <w:tc>
          <w:tcPr>
            <w:tcW w:type="dxa" w:w="4320"/>
          </w:tcPr>
          <w:p>
            <w:r>
              <w:t>Internal</w:t>
            </w:r>
          </w:p>
        </w:tc>
      </w:tr>
    </w:tbl>
    <w:p/>
    <w:p>
      <w:pPr>
        <w:pStyle w:val="Heading1"/>
      </w:pPr>
      <w:r>
        <w:t>1. Purpose</w:t>
      </w:r>
    </w:p>
    <w:p>
      <w:r>
        <w:t>Records how the standard TOGAF ADM is tailored for the Centralized IAM sub-project, which inherits its framework and Architecture Repository conventions from the parent SAP RISE programme (SAP Enterprise Repository) but is tracked as its own repository given its distinct stakeholder group and delivery timeline.</w:t>
      </w:r>
    </w:p>
    <w:p>
      <w:pPr>
        <w:pStyle w:val="Heading1"/>
      </w:pPr>
      <w:r>
        <w:t>2. Framework Tailoring</w:t>
      </w:r>
    </w:p>
    <w:p>
      <w:pPr>
        <w:pStyle w:val="ListBullet"/>
      </w:pPr>
      <w:r>
        <w:t>Phases B/C/D are combined into a single Business/Data/Application/Technology narrative given the sub-project's narrow scope (identity only).</w:t>
      </w:r>
    </w:p>
    <w:p>
      <w:pPr>
        <w:pStyle w:val="ListBullet"/>
      </w:pPr>
      <w:r>
        <w:t>Phase E and Phase F artifacts are produced in full, since work package sequencing is the primary delivery risk for this sub-project.</w:t>
      </w:r>
    </w:p>
    <w:p>
      <w:pPr>
        <w:pStyle w:val="Heading1"/>
      </w:pPr>
      <w:r>
        <w:t>3. Deliverable Set</w:t>
      </w:r>
    </w:p>
    <w:p>
      <w:r>
        <w:t>The full TOGAF deliverable set (28 documents across Preliminary–H) is produced, matching the convention established for the parent SAP Enterprise Repository.</w:t>
      </w:r>
    </w:p>
    <w:p>
      <w:pPr>
        <w:pStyle w:val="Heading1"/>
      </w:pPr>
      <w:r>
        <w:t>4. Terminology</w:t>
      </w:r>
    </w:p>
    <w:p>
      <w:r>
        <w:t>“Identity” refers to the Azure AD representation of a person; “Account” refers to the corresponding technical user record inside a target SAP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