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588" w:rsidRPr="00696162" w:rsidRDefault="00FF6479">
      <w:pPr>
        <w:rPr>
          <w:rFonts w:ascii="Constantia" w:hAnsi="Constantia"/>
          <w:b/>
        </w:rPr>
      </w:pPr>
      <w:r>
        <w:rPr>
          <w:rFonts w:ascii="Constantia" w:hAnsi="Constantia"/>
          <w:b/>
        </w:rPr>
        <w:t>falalafofofofo</w:t>
      </w:r>
      <w:bookmarkStart w:id="0" w:name="_GoBack"/>
      <w:bookmarkEnd w:id="0"/>
    </w:p>
    <w:p w:rsidR="00B87588" w:rsidRDefault="00B87588">
      <w:pPr>
        <w:rPr>
          <w:rFonts w:ascii="Constantia" w:hAnsi="Constantia"/>
        </w:rPr>
      </w:pPr>
    </w:p>
    <w:p w:rsidR="00345293" w:rsidRPr="00CE6D3D" w:rsidRDefault="00345293">
      <w:pPr>
        <w:rPr>
          <w:rFonts w:ascii="Constantia" w:hAnsi="Constantia"/>
        </w:rPr>
      </w:pPr>
      <w:r w:rsidRPr="00CE6D3D">
        <w:rPr>
          <w:rFonts w:ascii="Constantia" w:hAnsi="Constantia"/>
        </w:rPr>
        <w:t>B. Joy Erickson McNally</w:t>
      </w:r>
      <w:r w:rsidR="00CE6D3D" w:rsidRPr="00CE6D3D">
        <w:rPr>
          <w:rFonts w:ascii="Constantia" w:hAnsi="Constantia"/>
        </w:rPr>
        <w:br/>
        <w:t>December 2014</w:t>
      </w:r>
      <w:r w:rsidR="00CE6D3D" w:rsidRPr="00CE6D3D">
        <w:rPr>
          <w:rFonts w:ascii="Constantia" w:hAnsi="Constantia"/>
        </w:rPr>
        <w:br/>
      </w:r>
      <w:r w:rsidRPr="00CE6D3D">
        <w:rPr>
          <w:rFonts w:ascii="Constantia" w:hAnsi="Constantia"/>
        </w:rPr>
        <w:t>Ph.D. Dissertation</w:t>
      </w:r>
    </w:p>
    <w:p w:rsidR="00345293" w:rsidRPr="00CE6D3D" w:rsidRDefault="00345293">
      <w:pPr>
        <w:rPr>
          <w:rFonts w:ascii="Constantia" w:hAnsi="Constantia"/>
        </w:rPr>
      </w:pPr>
      <w:r w:rsidRPr="00CE6D3D">
        <w:rPr>
          <w:rFonts w:ascii="Constantia" w:hAnsi="Constantia"/>
        </w:rPr>
        <w:t xml:space="preserve">“Expression patterns and genomic organization of the Proline Rich Protein family in </w:t>
      </w:r>
      <w:r w:rsidRPr="00CE6D3D">
        <w:rPr>
          <w:rFonts w:ascii="Constantia" w:hAnsi="Constantia"/>
          <w:i/>
        </w:rPr>
        <w:t>Medicago truncatula</w:t>
      </w:r>
      <w:r w:rsidRPr="00CE6D3D">
        <w:rPr>
          <w:rFonts w:ascii="Constantia" w:hAnsi="Constantia"/>
        </w:rPr>
        <w:t>”</w:t>
      </w:r>
    </w:p>
    <w:p w:rsidR="00CE6D3D" w:rsidRDefault="00345293" w:rsidP="00CE6D3D">
      <w:pPr>
        <w:rPr>
          <w:rFonts w:ascii="Constantia" w:hAnsi="Constantia"/>
        </w:rPr>
      </w:pPr>
      <w:r w:rsidRPr="00CE6D3D">
        <w:rPr>
          <w:rFonts w:ascii="Constantia" w:hAnsi="Constantia"/>
        </w:rPr>
        <w:t xml:space="preserve">“Investigating the role(s) of the ABI5-binding Proteins in abiotic stress tolerance in </w:t>
      </w:r>
      <w:r w:rsidRPr="00CE6D3D">
        <w:rPr>
          <w:rFonts w:ascii="Constantia" w:hAnsi="Constantia"/>
          <w:i/>
        </w:rPr>
        <w:t>Arabidopsis thaliana</w:t>
      </w:r>
      <w:r w:rsidRPr="00CE6D3D">
        <w:rPr>
          <w:rFonts w:ascii="Constantia" w:hAnsi="Constantia"/>
        </w:rPr>
        <w:t>”</w:t>
      </w:r>
    </w:p>
    <w:p w:rsidR="005B2CA1" w:rsidRDefault="005B2CA1" w:rsidP="005B2CA1">
      <w:pPr>
        <w:jc w:val="center"/>
        <w:rPr>
          <w:rFonts w:ascii="Constantia" w:hAnsi="Constantia"/>
          <w:b/>
        </w:rPr>
      </w:pPr>
      <w:r w:rsidRPr="005B2CA1">
        <w:rPr>
          <w:rFonts w:ascii="Constantia" w:hAnsi="Constantia"/>
          <w:b/>
        </w:rPr>
        <w:t xml:space="preserve">Chapter 1: Introduction for </w:t>
      </w:r>
      <w:r w:rsidRPr="005B2CA1">
        <w:rPr>
          <w:rFonts w:ascii="Constantia" w:hAnsi="Constantia"/>
          <w:b/>
          <w:i/>
        </w:rPr>
        <w:t>Medicago</w:t>
      </w:r>
      <w:r w:rsidRPr="005B2CA1">
        <w:rPr>
          <w:rFonts w:ascii="Constantia" w:hAnsi="Constantia"/>
          <w:b/>
        </w:rPr>
        <w:t xml:space="preserve"> </w:t>
      </w:r>
      <w:r w:rsidRPr="005B2CA1">
        <w:rPr>
          <w:rFonts w:ascii="Constantia" w:hAnsi="Constantia"/>
          <w:b/>
          <w:i/>
        </w:rPr>
        <w:t xml:space="preserve">truncatula </w:t>
      </w:r>
      <w:r w:rsidRPr="005B2CA1">
        <w:rPr>
          <w:rFonts w:ascii="Constantia" w:hAnsi="Constantia"/>
          <w:b/>
        </w:rPr>
        <w:t>project</w:t>
      </w:r>
    </w:p>
    <w:p w:rsidR="00490FC1" w:rsidRDefault="005D1EE6" w:rsidP="00246A43">
      <w:pPr>
        <w:autoSpaceDE w:val="0"/>
        <w:autoSpaceDN w:val="0"/>
        <w:adjustRightInd w:val="0"/>
        <w:spacing w:before="240" w:after="0" w:line="480" w:lineRule="auto"/>
        <w:ind w:firstLine="720"/>
        <w:rPr>
          <w:rFonts w:ascii="Constantia" w:hAnsi="Constantia"/>
        </w:rPr>
      </w:pPr>
      <w:r>
        <w:rPr>
          <w:rFonts w:ascii="Constantia" w:hAnsi="Constantia"/>
        </w:rPr>
        <w:t xml:space="preserve">Legume is a common name for angiosperms of the family Fabaceae </w:t>
      </w:r>
      <w:r w:rsidR="004C4877">
        <w:rPr>
          <w:rFonts w:ascii="Constantia" w:hAnsi="Constantia"/>
        </w:rPr>
        <w:t xml:space="preserve">which </w:t>
      </w:r>
      <w:r>
        <w:rPr>
          <w:rFonts w:ascii="Constantia" w:hAnsi="Constantia"/>
        </w:rPr>
        <w:t>includes</w:t>
      </w:r>
      <w:r w:rsidR="004C4877">
        <w:rPr>
          <w:rFonts w:ascii="Constantia" w:hAnsi="Constantia"/>
        </w:rPr>
        <w:t xml:space="preserve"> many agriculturally</w:t>
      </w:r>
      <w:r w:rsidR="00F65ADF">
        <w:rPr>
          <w:rFonts w:ascii="Constantia" w:hAnsi="Constantia"/>
        </w:rPr>
        <w:t xml:space="preserve"> significant</w:t>
      </w:r>
      <w:r w:rsidR="004C4877">
        <w:rPr>
          <w:rFonts w:ascii="Constantia" w:hAnsi="Constantia"/>
        </w:rPr>
        <w:t xml:space="preserve"> crop</w:t>
      </w:r>
      <w:r w:rsidR="00F65ADF">
        <w:rPr>
          <w:rFonts w:ascii="Constantia" w:hAnsi="Constantia"/>
        </w:rPr>
        <w:t>s</w:t>
      </w:r>
      <w:r>
        <w:rPr>
          <w:rFonts w:ascii="Constantia" w:hAnsi="Constantia"/>
        </w:rPr>
        <w:t xml:space="preserve"> such as soy bean</w:t>
      </w:r>
      <w:r w:rsidR="00F65ADF">
        <w:rPr>
          <w:rFonts w:ascii="Constantia" w:hAnsi="Constantia"/>
        </w:rPr>
        <w:t>s</w:t>
      </w:r>
      <w:r>
        <w:rPr>
          <w:rFonts w:ascii="Constantia" w:hAnsi="Constantia"/>
        </w:rPr>
        <w:t>, lentils, peanuts, kidney beans, alfalfa, and garba</w:t>
      </w:r>
      <w:r w:rsidR="002C217C">
        <w:rPr>
          <w:rFonts w:ascii="Constantia" w:hAnsi="Constantia"/>
        </w:rPr>
        <w:t>nzo beans (chickpeas)</w:t>
      </w:r>
      <w:r w:rsidR="00584AB0">
        <w:rPr>
          <w:rFonts w:ascii="Constantia" w:hAnsi="Constantia"/>
        </w:rPr>
        <w:t>, among others</w:t>
      </w:r>
      <w:r w:rsidR="002C217C">
        <w:rPr>
          <w:rFonts w:ascii="Constantia" w:hAnsi="Constantia"/>
        </w:rPr>
        <w:t>. A</w:t>
      </w:r>
      <w:r>
        <w:rPr>
          <w:rFonts w:ascii="Constantia" w:hAnsi="Constantia"/>
        </w:rPr>
        <w:t>pproximately one third of the crop production on the planet is dedicated to legumes (</w:t>
      </w:r>
      <w:r w:rsidRPr="005D1EE6">
        <w:rPr>
          <w:rFonts w:ascii="Constantia" w:hAnsi="Constantia"/>
          <w:b/>
        </w:rPr>
        <w:t>citation needed</w:t>
      </w:r>
      <w:r>
        <w:rPr>
          <w:rFonts w:ascii="Constantia" w:hAnsi="Constantia"/>
        </w:rPr>
        <w:t>)</w:t>
      </w:r>
      <w:r w:rsidR="004C4877">
        <w:rPr>
          <w:rFonts w:ascii="Constantia" w:hAnsi="Constantia"/>
        </w:rPr>
        <w:t xml:space="preserve"> and they are an important</w:t>
      </w:r>
      <w:r>
        <w:rPr>
          <w:rFonts w:ascii="Constantia" w:hAnsi="Constantia"/>
        </w:rPr>
        <w:t xml:space="preserve"> source of dietary protein</w:t>
      </w:r>
      <w:r w:rsidR="00F65ADF">
        <w:rPr>
          <w:rFonts w:ascii="Constantia" w:hAnsi="Constantia"/>
        </w:rPr>
        <w:t>,</w:t>
      </w:r>
      <w:r>
        <w:rPr>
          <w:rFonts w:ascii="Constantia" w:hAnsi="Constantia"/>
        </w:rPr>
        <w:t xml:space="preserve"> especially in cultures that are primarily vegetarian</w:t>
      </w:r>
      <w:r w:rsidR="002C217C">
        <w:rPr>
          <w:rFonts w:ascii="Constantia" w:hAnsi="Constantia"/>
        </w:rPr>
        <w:t xml:space="preserve"> (</w:t>
      </w:r>
      <w:r w:rsidR="002C217C" w:rsidRPr="002C217C">
        <w:rPr>
          <w:rFonts w:ascii="Constantia" w:hAnsi="Constantia"/>
          <w:b/>
        </w:rPr>
        <w:t>citation?</w:t>
      </w:r>
      <w:r w:rsidR="002C217C">
        <w:rPr>
          <w:rFonts w:ascii="Constantia" w:hAnsi="Constantia"/>
        </w:rPr>
        <w:t>)</w:t>
      </w:r>
      <w:r>
        <w:rPr>
          <w:rFonts w:ascii="Constantia" w:hAnsi="Constantia"/>
        </w:rPr>
        <w:t xml:space="preserve">. </w:t>
      </w:r>
      <w:r w:rsidR="00584AB0">
        <w:rPr>
          <w:rFonts w:ascii="Constantia" w:hAnsi="Constantia"/>
        </w:rPr>
        <w:t>Their importance as crops was recognized millennia ago, although the exact reasoning behind their beneficial action was not realized until much more recently. One of the earliest documented acknowledgments of the agricultural importance of legumes came from Pliny the Elder in 75 A.D.: “It is universally agreed that no manure is more beneficial than a crop of lupins turned in by the plough or with forks before the plants form pods” (lupin refers to a genus within the family Fabaceae).</w:t>
      </w:r>
      <w:r w:rsidR="0062326E">
        <w:rPr>
          <w:rFonts w:ascii="Constantia" w:hAnsi="Constantia"/>
        </w:rPr>
        <w:t xml:space="preserve"> </w:t>
      </w:r>
      <w:r w:rsidR="00584AB0">
        <w:rPr>
          <w:rFonts w:ascii="Constantia" w:hAnsi="Constantia"/>
        </w:rPr>
        <w:t xml:space="preserve">Even today farmers practice what is known as “crop rotation,” alternating grains and grasses with legumes in the same plots to enrich the soil. </w:t>
      </w:r>
      <w:r w:rsidR="004C4877">
        <w:rPr>
          <w:rFonts w:ascii="Constantia" w:hAnsi="Constantia"/>
        </w:rPr>
        <w:t>Many legume species (</w:t>
      </w:r>
      <w:r w:rsidR="004C4877" w:rsidRPr="004C4877">
        <w:rPr>
          <w:rFonts w:ascii="Constantia" w:hAnsi="Constantia"/>
          <w:b/>
        </w:rPr>
        <w:t>how many? All?</w:t>
      </w:r>
      <w:r w:rsidR="004C4877">
        <w:rPr>
          <w:rFonts w:ascii="Constantia" w:hAnsi="Constantia"/>
        </w:rPr>
        <w:t>) are able to form nitrogen-fixing symbioses with soil bacteria</w:t>
      </w:r>
      <w:r w:rsidR="00F65ADF">
        <w:rPr>
          <w:rFonts w:ascii="Constantia" w:hAnsi="Constantia"/>
        </w:rPr>
        <w:t xml:space="preserve"> from various genera that are</w:t>
      </w:r>
      <w:r w:rsidR="004C4877">
        <w:rPr>
          <w:rFonts w:ascii="Constantia" w:hAnsi="Constantia"/>
        </w:rPr>
        <w:t xml:space="preserve"> collectively known as rhizobia. These symbioses occur in specialized </w:t>
      </w:r>
      <w:r w:rsidR="00F65ADF">
        <w:rPr>
          <w:rFonts w:ascii="Constantia" w:hAnsi="Constantia"/>
        </w:rPr>
        <w:t xml:space="preserve">root </w:t>
      </w:r>
      <w:r w:rsidR="004C4877">
        <w:rPr>
          <w:rFonts w:ascii="Constantia" w:hAnsi="Constantia"/>
        </w:rPr>
        <w:t>structures called nodules that provide an anaerobic environment which allows the</w:t>
      </w:r>
      <w:r w:rsidR="00584AB0">
        <w:rPr>
          <w:rFonts w:ascii="Constantia" w:hAnsi="Constantia"/>
        </w:rPr>
        <w:t xml:space="preserve"> </w:t>
      </w:r>
      <w:r w:rsidR="004C4877">
        <w:rPr>
          <w:rFonts w:ascii="Constantia" w:hAnsi="Constantia"/>
        </w:rPr>
        <w:t>conversion of inert, gaseous nitrogen (N</w:t>
      </w:r>
      <w:r w:rsidR="004C4877">
        <w:rPr>
          <w:rFonts w:ascii="Constantia" w:hAnsi="Constantia"/>
          <w:vertAlign w:val="subscript"/>
        </w:rPr>
        <w:t>2</w:t>
      </w:r>
      <w:r w:rsidR="004C4877">
        <w:rPr>
          <w:rFonts w:ascii="Constantia" w:hAnsi="Constantia"/>
        </w:rPr>
        <w:t>) to ammonium (NH</w:t>
      </w:r>
      <w:r w:rsidR="004C4877">
        <w:rPr>
          <w:rFonts w:ascii="Constantia" w:hAnsi="Constantia"/>
          <w:vertAlign w:val="subscript"/>
        </w:rPr>
        <w:t>4</w:t>
      </w:r>
      <w:r w:rsidR="004C4877">
        <w:rPr>
          <w:rFonts w:ascii="Constantia" w:hAnsi="Constantia"/>
          <w:vertAlign w:val="superscript"/>
        </w:rPr>
        <w:t>+</w:t>
      </w:r>
      <w:r w:rsidR="004C4877">
        <w:rPr>
          <w:rFonts w:ascii="Constantia" w:hAnsi="Constantia"/>
        </w:rPr>
        <w:t xml:space="preserve">) with the help of an estimated 16 ATP molecules and 8 electrons via the rhizobial enzyme </w:t>
      </w:r>
      <w:r w:rsidR="004C4877">
        <w:rPr>
          <w:rFonts w:ascii="Constantia" w:hAnsi="Constantia"/>
        </w:rPr>
        <w:lastRenderedPageBreak/>
        <w:t>nitrogenase (</w:t>
      </w:r>
      <w:r w:rsidR="004C4877">
        <w:rPr>
          <w:rFonts w:ascii="Constantia" w:hAnsi="Constantia"/>
          <w:b/>
        </w:rPr>
        <w:t>citation?)</w:t>
      </w:r>
      <w:r w:rsidR="00F65ADF">
        <w:rPr>
          <w:rFonts w:ascii="Constantia" w:hAnsi="Constantia"/>
          <w:b/>
        </w:rPr>
        <w:t>.</w:t>
      </w:r>
      <w:r w:rsidR="004C4877">
        <w:rPr>
          <w:rFonts w:ascii="Constantia" w:hAnsi="Constantia"/>
        </w:rPr>
        <w:t xml:space="preserve">  </w:t>
      </w:r>
      <w:r w:rsidR="00F65ADF">
        <w:rPr>
          <w:rFonts w:ascii="Constantia" w:hAnsi="Constantia"/>
        </w:rPr>
        <w:t xml:space="preserve">In exchange for “fixed” nitrogen the rhizobia receive a steady stream of carbon (energy) sources making this symbiosis mutually beneficial to both bacteria and host. </w:t>
      </w:r>
      <w:r w:rsidR="0062326E">
        <w:rPr>
          <w:rFonts w:ascii="Constantia" w:hAnsi="Constantia"/>
        </w:rPr>
        <w:t>This phenomenon is found exclusively in legumes (</w:t>
      </w:r>
      <w:r w:rsidR="0062326E" w:rsidRPr="0062326E">
        <w:rPr>
          <w:rFonts w:ascii="Constantia" w:hAnsi="Constantia"/>
          <w:b/>
        </w:rPr>
        <w:t>yes? No?</w:t>
      </w:r>
      <w:r w:rsidR="0062326E">
        <w:rPr>
          <w:rFonts w:ascii="Constantia" w:hAnsi="Constantia"/>
        </w:rPr>
        <w:t xml:space="preserve">) and acts as the main method for getting </w:t>
      </w:r>
      <w:r w:rsidR="008B6852">
        <w:rPr>
          <w:rFonts w:ascii="Constantia" w:hAnsi="Constantia"/>
        </w:rPr>
        <w:t xml:space="preserve">molecularly useful </w:t>
      </w:r>
      <w:r w:rsidR="0062326E">
        <w:rPr>
          <w:rFonts w:ascii="Constantia" w:hAnsi="Constantia"/>
        </w:rPr>
        <w:t>nitrogen into the food chain. Nitrogen is a crucial nutrient that forms the backbone of several important biological</w:t>
      </w:r>
      <w:r w:rsidR="008B6852">
        <w:rPr>
          <w:rFonts w:ascii="Constantia" w:hAnsi="Constantia"/>
        </w:rPr>
        <w:t xml:space="preserve"> molecules including amino</w:t>
      </w:r>
      <w:r w:rsidR="0062326E">
        <w:rPr>
          <w:rFonts w:ascii="Constantia" w:hAnsi="Constantia"/>
        </w:rPr>
        <w:t xml:space="preserve"> and nucleic acids.</w:t>
      </w:r>
      <w:r w:rsidR="008B6852">
        <w:rPr>
          <w:rFonts w:ascii="Constantia" w:hAnsi="Constantia"/>
        </w:rPr>
        <w:t xml:space="preserve"> This ability to supply nitrogen to crops naturally decreases the need for expensive and potentially dangerous fertilizers. Indeed, the more we know about how this process works, the closer we get to being able to engineer nitrogen fixation into non-legumes.</w:t>
      </w:r>
    </w:p>
    <w:p w:rsidR="008B6852" w:rsidRPr="00490FC1" w:rsidRDefault="008B6852" w:rsidP="00EE08CE">
      <w:pPr>
        <w:autoSpaceDE w:val="0"/>
        <w:autoSpaceDN w:val="0"/>
        <w:adjustRightInd w:val="0"/>
        <w:spacing w:before="240" w:after="0" w:line="480" w:lineRule="auto"/>
        <w:ind w:firstLine="720"/>
        <w:rPr>
          <w:rFonts w:ascii="Constantia" w:hAnsi="Constantia"/>
        </w:rPr>
      </w:pPr>
      <w:r>
        <w:rPr>
          <w:rFonts w:ascii="Constantia" w:hAnsi="Constantia"/>
        </w:rPr>
        <w:t xml:space="preserve">As mentioned above, the process of nitrogen fixation occurs in specialized root organs called nodules. Nodules form after several steps of back and forth communication between the host legume and the invading rhizobia. Briefly, the process begins as roots emit chemical signals </w:t>
      </w:r>
      <w:r w:rsidR="002720CF">
        <w:rPr>
          <w:rFonts w:ascii="Constantia" w:hAnsi="Constantia"/>
        </w:rPr>
        <w:t xml:space="preserve">in the form of specific flavonoids </w:t>
      </w:r>
      <w:r>
        <w:rPr>
          <w:rFonts w:ascii="Constantia" w:hAnsi="Constantia"/>
        </w:rPr>
        <w:t>to attract rhizobia. Upon reception of these signals the bacteria emit their own signals known as Nod factors (nod is short for nodulation)</w:t>
      </w:r>
      <w:r w:rsidR="002720CF">
        <w:rPr>
          <w:rFonts w:ascii="Constantia" w:hAnsi="Constantia"/>
        </w:rPr>
        <w:t xml:space="preserve"> which switch on various processes that prepare the plant for invasion. Nod factors are lipochitooligosaccharides with various modifications at terminal and non-terminal residues. The number of N-acetylglucosamine residues varies, but generally is within th</w:t>
      </w:r>
      <w:r w:rsidR="00515808">
        <w:rPr>
          <w:rFonts w:ascii="Constantia" w:hAnsi="Constantia"/>
        </w:rPr>
        <w:t>e range of 3-5. The host responses</w:t>
      </w:r>
      <w:r w:rsidR="002720CF">
        <w:rPr>
          <w:rFonts w:ascii="Constantia" w:hAnsi="Constantia"/>
        </w:rPr>
        <w:t xml:space="preserve"> t</w:t>
      </w:r>
      <w:r w:rsidR="00515808">
        <w:rPr>
          <w:rFonts w:ascii="Constantia" w:hAnsi="Constantia"/>
        </w:rPr>
        <w:t>o Nod factor recognition involve</w:t>
      </w:r>
      <w:r w:rsidR="002720CF">
        <w:rPr>
          <w:rFonts w:ascii="Constantia" w:hAnsi="Constantia"/>
        </w:rPr>
        <w:t xml:space="preserve"> increases in intracellular Ca</w:t>
      </w:r>
      <w:r w:rsidR="002720CF">
        <w:rPr>
          <w:rFonts w:ascii="Constantia" w:hAnsi="Constantia"/>
          <w:vertAlign w:val="superscript"/>
        </w:rPr>
        <w:t>2+</w:t>
      </w:r>
      <w:r w:rsidR="002720CF">
        <w:rPr>
          <w:rFonts w:ascii="Constantia" w:hAnsi="Constantia"/>
        </w:rPr>
        <w:t xml:space="preserve"> in root hairs, followed by Ca</w:t>
      </w:r>
      <w:r w:rsidR="002720CF">
        <w:rPr>
          <w:rFonts w:ascii="Constantia" w:hAnsi="Constantia"/>
          <w:vertAlign w:val="superscript"/>
        </w:rPr>
        <w:t xml:space="preserve">2+ </w:t>
      </w:r>
      <w:r w:rsidR="002720CF">
        <w:rPr>
          <w:rFonts w:ascii="Constantia" w:hAnsi="Constantia"/>
        </w:rPr>
        <w:t>oscillations (spiking) and alterations in root hair cytoskeleton leading to root hair curling which traps rhizobia in colonized curled root hairs.</w:t>
      </w:r>
      <w:r w:rsidR="004705CA">
        <w:rPr>
          <w:rFonts w:ascii="Constantia" w:hAnsi="Constantia"/>
        </w:rPr>
        <w:t xml:space="preserve"> At this point, the bacteria produce Nod factors and symbiotically active exopolysaccharides which induce growth of root hair cell membrane towards the cortex and then invasion usually progresses via bacterial prolifer</w:t>
      </w:r>
      <w:r w:rsidR="007126FD">
        <w:rPr>
          <w:rFonts w:ascii="Constantia" w:hAnsi="Constantia"/>
        </w:rPr>
        <w:t>ation.</w:t>
      </w:r>
      <w:r w:rsidR="004705CA">
        <w:rPr>
          <w:rFonts w:ascii="Constantia" w:hAnsi="Constantia"/>
        </w:rPr>
        <w:t xml:space="preserve"> Nod factors act on host tissues as mitogens and morphogens which reactivate the cell cycle in the host cortex</w:t>
      </w:r>
      <w:r w:rsidR="007126FD">
        <w:rPr>
          <w:rFonts w:ascii="Constantia" w:hAnsi="Constantia"/>
        </w:rPr>
        <w:t xml:space="preserve"> eventually leading to development and differentiation of nodule tissues including vascularization. During this time </w:t>
      </w:r>
      <w:r w:rsidR="004705CA">
        <w:rPr>
          <w:rFonts w:ascii="Constantia" w:hAnsi="Constantia"/>
        </w:rPr>
        <w:t>intracellular, un</w:t>
      </w:r>
      <w:r w:rsidR="007126FD">
        <w:rPr>
          <w:rFonts w:ascii="Constantia" w:hAnsi="Constantia"/>
        </w:rPr>
        <w:t>-</w:t>
      </w:r>
      <w:r w:rsidR="004705CA">
        <w:rPr>
          <w:rFonts w:ascii="Constantia" w:hAnsi="Constantia"/>
        </w:rPr>
        <w:t>walled outgrowths</w:t>
      </w:r>
      <w:r w:rsidR="007126FD">
        <w:rPr>
          <w:rFonts w:ascii="Constantia" w:hAnsi="Constantia"/>
        </w:rPr>
        <w:t xml:space="preserve"> called infection droplets form from infection threads </w:t>
      </w:r>
      <w:r w:rsidR="007126FD">
        <w:rPr>
          <w:rFonts w:ascii="Constantia" w:hAnsi="Constantia"/>
        </w:rPr>
        <w:lastRenderedPageBreak/>
        <w:t>which</w:t>
      </w:r>
      <w:r w:rsidR="004705CA">
        <w:rPr>
          <w:rFonts w:ascii="Constantia" w:hAnsi="Constantia"/>
        </w:rPr>
        <w:t xml:space="preserve"> allow direct contact and subsequent uptake of rhizobia into plan</w:t>
      </w:r>
      <w:r w:rsidR="007126FD">
        <w:rPr>
          <w:rFonts w:ascii="Constantia" w:hAnsi="Constantia"/>
        </w:rPr>
        <w:t xml:space="preserve">t cell cytoplasm. (At some point rhizobia terminally differentiate into nitrogen-fixing bacteroids…) The result </w:t>
      </w:r>
      <w:r w:rsidR="004705CA">
        <w:rPr>
          <w:rFonts w:ascii="Constantia" w:hAnsi="Constantia"/>
        </w:rPr>
        <w:t>is called a symbiosome and its peribacteroid membrane regulates the metabolic exchanges between bacteroids and host cytoplasm.</w:t>
      </w:r>
    </w:p>
    <w:p w:rsidR="00CE6D3D" w:rsidRDefault="00CE6D3D" w:rsidP="00CE6D3D">
      <w:pPr>
        <w:spacing w:after="0" w:line="240" w:lineRule="auto"/>
        <w:ind w:left="1080"/>
        <w:rPr>
          <w:rFonts w:ascii="Constantia" w:hAnsi="Constantia" w:cs="Arial"/>
        </w:rPr>
      </w:pPr>
    </w:p>
    <w:p w:rsidR="00EE08CE" w:rsidRPr="00CE6D3D" w:rsidRDefault="00EE08CE" w:rsidP="00CE6D3D">
      <w:pPr>
        <w:spacing w:after="0" w:line="240" w:lineRule="auto"/>
        <w:ind w:left="1080"/>
        <w:rPr>
          <w:rFonts w:ascii="Constantia" w:hAnsi="Constantia" w:cs="Arial"/>
        </w:rPr>
      </w:pPr>
    </w:p>
    <w:p w:rsidR="00CE6D3D" w:rsidRPr="00CE6D3D" w:rsidRDefault="00B70499" w:rsidP="00CE6D3D">
      <w:pPr>
        <w:numPr>
          <w:ilvl w:val="1"/>
          <w:numId w:val="1"/>
        </w:numPr>
        <w:spacing w:after="0" w:line="240" w:lineRule="auto"/>
        <w:rPr>
          <w:rFonts w:ascii="Constantia" w:hAnsi="Constantia" w:cs="Arial"/>
        </w:rPr>
      </w:pPr>
      <w:r>
        <w:rPr>
          <w:rFonts w:ascii="Constantia" w:hAnsi="Constantia" w:cs="Arial"/>
        </w:rPr>
        <w:t xml:space="preserve">Legumes, </w:t>
      </w:r>
      <w:r w:rsidR="00CE6D3D" w:rsidRPr="00CE6D3D">
        <w:rPr>
          <w:rFonts w:ascii="Constantia" w:hAnsi="Constantia" w:cs="Arial"/>
        </w:rPr>
        <w:t>symbiosis</w:t>
      </w:r>
      <w:r>
        <w:rPr>
          <w:rFonts w:ascii="Constantia" w:hAnsi="Constantia" w:cs="Arial"/>
        </w:rPr>
        <w:t xml:space="preserve">, and </w:t>
      </w:r>
      <w:r>
        <w:rPr>
          <w:rFonts w:ascii="Constantia" w:hAnsi="Constantia" w:cs="Arial"/>
          <w:i/>
        </w:rPr>
        <w:t>Medicago truncatula</w:t>
      </w:r>
    </w:p>
    <w:p w:rsidR="00CE6D3D" w:rsidRPr="00CE6D3D" w:rsidRDefault="00CE6D3D" w:rsidP="00CE6D3D">
      <w:pPr>
        <w:numPr>
          <w:ilvl w:val="1"/>
          <w:numId w:val="1"/>
        </w:numPr>
        <w:spacing w:after="0" w:line="240" w:lineRule="auto"/>
        <w:rPr>
          <w:rFonts w:ascii="Constantia" w:hAnsi="Constantia" w:cs="Arial"/>
        </w:rPr>
      </w:pPr>
      <w:r w:rsidRPr="00CE6D3D">
        <w:rPr>
          <w:rFonts w:ascii="Constantia" w:hAnsi="Constantia" w:cs="Arial"/>
        </w:rPr>
        <w:t>Plant cell walls</w:t>
      </w:r>
    </w:p>
    <w:p w:rsidR="00CE6D3D" w:rsidRPr="00CE6D3D" w:rsidRDefault="00CE6D3D" w:rsidP="00CE6D3D">
      <w:pPr>
        <w:numPr>
          <w:ilvl w:val="2"/>
          <w:numId w:val="1"/>
        </w:numPr>
        <w:spacing w:after="0" w:line="240" w:lineRule="auto"/>
        <w:rPr>
          <w:rFonts w:ascii="Constantia" w:hAnsi="Constantia" w:cs="Arial"/>
        </w:rPr>
      </w:pPr>
      <w:r w:rsidRPr="00CE6D3D">
        <w:rPr>
          <w:rFonts w:ascii="Constantia" w:hAnsi="Constantia" w:cs="Arial"/>
        </w:rPr>
        <w:t>Cell wall polysaccharides</w:t>
      </w:r>
    </w:p>
    <w:p w:rsidR="00CE6D3D" w:rsidRPr="00CE6D3D" w:rsidRDefault="00CE6D3D" w:rsidP="00CE6D3D">
      <w:pPr>
        <w:numPr>
          <w:ilvl w:val="2"/>
          <w:numId w:val="1"/>
        </w:numPr>
        <w:spacing w:after="0" w:line="240" w:lineRule="auto"/>
        <w:rPr>
          <w:rFonts w:ascii="Constantia" w:hAnsi="Constantia" w:cs="Arial"/>
        </w:rPr>
      </w:pPr>
      <w:r w:rsidRPr="00CE6D3D">
        <w:rPr>
          <w:rFonts w:ascii="Constantia" w:hAnsi="Constantia" w:cs="Arial"/>
        </w:rPr>
        <w:t>Cell wall proteins</w:t>
      </w:r>
    </w:p>
    <w:p w:rsidR="00CE6D3D" w:rsidRPr="00CE6D3D" w:rsidRDefault="00CE6D3D" w:rsidP="00CE6D3D">
      <w:pPr>
        <w:numPr>
          <w:ilvl w:val="1"/>
          <w:numId w:val="1"/>
        </w:numPr>
        <w:spacing w:after="0" w:line="240" w:lineRule="auto"/>
        <w:rPr>
          <w:rFonts w:ascii="Constantia" w:hAnsi="Constantia" w:cs="Arial"/>
        </w:rPr>
      </w:pPr>
      <w:r w:rsidRPr="00CE6D3D">
        <w:rPr>
          <w:rFonts w:ascii="Constantia" w:hAnsi="Constantia" w:cs="Arial"/>
        </w:rPr>
        <w:t>Proline Rich Protein (PRP) family</w:t>
      </w:r>
    </w:p>
    <w:p w:rsidR="00CE6D3D" w:rsidRPr="00CE6D3D" w:rsidRDefault="00CE6D3D" w:rsidP="00CE6D3D">
      <w:pPr>
        <w:numPr>
          <w:ilvl w:val="1"/>
          <w:numId w:val="1"/>
        </w:numPr>
        <w:spacing w:after="0" w:line="240" w:lineRule="auto"/>
        <w:rPr>
          <w:rFonts w:ascii="Constantia" w:hAnsi="Constantia" w:cs="Arial"/>
        </w:rPr>
      </w:pPr>
      <w:r w:rsidRPr="00CE6D3D">
        <w:rPr>
          <w:rFonts w:ascii="Constantia" w:hAnsi="Constantia" w:cs="Arial"/>
        </w:rPr>
        <w:t>Functional analysis of the PRPs</w:t>
      </w:r>
    </w:p>
    <w:p w:rsidR="00CE6D3D" w:rsidRPr="00CE6D3D" w:rsidRDefault="00CE6D3D" w:rsidP="00CE6D3D">
      <w:pPr>
        <w:numPr>
          <w:ilvl w:val="2"/>
          <w:numId w:val="1"/>
        </w:numPr>
        <w:spacing w:after="0" w:line="240" w:lineRule="auto"/>
        <w:rPr>
          <w:rFonts w:ascii="Constantia" w:hAnsi="Constantia" w:cs="Arial"/>
        </w:rPr>
      </w:pPr>
      <w:r w:rsidRPr="00CE6D3D">
        <w:rPr>
          <w:rFonts w:ascii="Constantia" w:hAnsi="Constantia" w:cs="Arial"/>
        </w:rPr>
        <w:t>Overexpression</w:t>
      </w:r>
    </w:p>
    <w:p w:rsidR="00CE6D3D" w:rsidRPr="00CE6D3D" w:rsidRDefault="00CE6D3D" w:rsidP="00CE6D3D">
      <w:pPr>
        <w:numPr>
          <w:ilvl w:val="2"/>
          <w:numId w:val="1"/>
        </w:numPr>
        <w:spacing w:after="0" w:line="240" w:lineRule="auto"/>
        <w:rPr>
          <w:rFonts w:ascii="Constantia" w:hAnsi="Constantia" w:cs="Arial"/>
        </w:rPr>
      </w:pPr>
      <w:r w:rsidRPr="00CE6D3D">
        <w:rPr>
          <w:rFonts w:ascii="Constantia" w:hAnsi="Constantia" w:cs="Arial"/>
        </w:rPr>
        <w:t>RNAi knockdown</w:t>
      </w:r>
    </w:p>
    <w:p w:rsidR="00CE6D3D" w:rsidRPr="00CE6D3D" w:rsidRDefault="00CE6D3D" w:rsidP="00CE6D3D">
      <w:pPr>
        <w:numPr>
          <w:ilvl w:val="1"/>
          <w:numId w:val="1"/>
        </w:numPr>
        <w:spacing w:after="0" w:line="240" w:lineRule="auto"/>
        <w:rPr>
          <w:rFonts w:ascii="Constantia" w:hAnsi="Constantia" w:cs="Arial"/>
        </w:rPr>
      </w:pPr>
      <w:r w:rsidRPr="00CE6D3D">
        <w:rPr>
          <w:rFonts w:ascii="Constantia" w:hAnsi="Constantia" w:cs="Arial"/>
        </w:rPr>
        <w:t>PRP4 promoter: cloning and expression results (so far)</w:t>
      </w:r>
    </w:p>
    <w:p w:rsidR="00CE6D3D" w:rsidRPr="00CE6D3D" w:rsidRDefault="00CE6D3D" w:rsidP="00CE6D3D">
      <w:pPr>
        <w:spacing w:after="0" w:line="240" w:lineRule="auto"/>
        <w:ind w:left="2160"/>
        <w:rPr>
          <w:rFonts w:ascii="Constantia" w:hAnsi="Constantia" w:cs="Arial"/>
        </w:rPr>
      </w:pPr>
    </w:p>
    <w:p w:rsidR="00CE6D3D" w:rsidRPr="00CE6D3D" w:rsidRDefault="00CE6D3D" w:rsidP="00CE6D3D">
      <w:pPr>
        <w:numPr>
          <w:ilvl w:val="0"/>
          <w:numId w:val="1"/>
        </w:numPr>
        <w:spacing w:after="0" w:line="240" w:lineRule="auto"/>
        <w:rPr>
          <w:rFonts w:ascii="Constantia" w:hAnsi="Constantia" w:cs="Arial"/>
        </w:rPr>
      </w:pPr>
      <w:r w:rsidRPr="00CE6D3D">
        <w:rPr>
          <w:rFonts w:ascii="Constantia" w:hAnsi="Constantia" w:cs="Arial"/>
          <w:b/>
        </w:rPr>
        <w:t>Chapter 2</w:t>
      </w:r>
      <w:r w:rsidRPr="00CE6D3D">
        <w:rPr>
          <w:rFonts w:ascii="Constantia" w:hAnsi="Constantia" w:cs="Arial"/>
        </w:rPr>
        <w:t>: Genomic organization of the PRP family</w:t>
      </w:r>
    </w:p>
    <w:p w:rsidR="00CE6D3D" w:rsidRPr="00CE6D3D" w:rsidRDefault="00CE6D3D" w:rsidP="00CE6D3D">
      <w:pPr>
        <w:spacing w:after="0" w:line="240" w:lineRule="auto"/>
        <w:ind w:left="1080"/>
        <w:rPr>
          <w:rFonts w:ascii="Constantia" w:hAnsi="Constantia" w:cs="Arial"/>
        </w:rPr>
      </w:pPr>
    </w:p>
    <w:p w:rsidR="00CE6D3D" w:rsidRPr="00CE6D3D" w:rsidRDefault="00CE6D3D" w:rsidP="00CE6D3D">
      <w:pPr>
        <w:numPr>
          <w:ilvl w:val="1"/>
          <w:numId w:val="1"/>
        </w:numPr>
        <w:spacing w:after="0" w:line="240" w:lineRule="auto"/>
        <w:rPr>
          <w:rFonts w:ascii="Constantia" w:hAnsi="Constantia" w:cs="Arial"/>
        </w:rPr>
      </w:pPr>
      <w:r w:rsidRPr="00CE6D3D">
        <w:rPr>
          <w:rFonts w:ascii="Constantia" w:hAnsi="Constantia" w:cs="Arial"/>
          <w:i/>
        </w:rPr>
        <w:t>M. truncatula</w:t>
      </w:r>
    </w:p>
    <w:p w:rsidR="00CE6D3D" w:rsidRPr="00CE6D3D" w:rsidRDefault="00CE6D3D" w:rsidP="00CE6D3D">
      <w:pPr>
        <w:numPr>
          <w:ilvl w:val="2"/>
          <w:numId w:val="1"/>
        </w:numPr>
        <w:spacing w:after="0" w:line="240" w:lineRule="auto"/>
        <w:rPr>
          <w:rFonts w:ascii="Constantia" w:hAnsi="Constantia" w:cs="Arial"/>
        </w:rPr>
      </w:pPr>
      <w:r w:rsidRPr="00CE6D3D">
        <w:rPr>
          <w:rFonts w:ascii="Constantia" w:hAnsi="Constantia" w:cs="Arial"/>
        </w:rPr>
        <w:t xml:space="preserve"> &gt;50kb BamHI fragment contains most PRPs</w:t>
      </w:r>
    </w:p>
    <w:p w:rsidR="00CE6D3D" w:rsidRPr="00CE6D3D" w:rsidRDefault="00CE6D3D" w:rsidP="00CE6D3D">
      <w:pPr>
        <w:numPr>
          <w:ilvl w:val="2"/>
          <w:numId w:val="1"/>
        </w:numPr>
        <w:spacing w:after="0" w:line="240" w:lineRule="auto"/>
        <w:rPr>
          <w:rFonts w:ascii="Constantia" w:hAnsi="Constantia" w:cs="Arial"/>
        </w:rPr>
      </w:pPr>
      <w:r w:rsidRPr="00CE6D3D">
        <w:rPr>
          <w:rFonts w:ascii="Constantia" w:hAnsi="Constantia" w:cs="Arial"/>
        </w:rPr>
        <w:t>Chromosome 4</w:t>
      </w:r>
    </w:p>
    <w:p w:rsidR="00CE6D3D" w:rsidRPr="00CE6D3D" w:rsidRDefault="00CE6D3D" w:rsidP="00CE6D3D">
      <w:pPr>
        <w:numPr>
          <w:ilvl w:val="2"/>
          <w:numId w:val="1"/>
        </w:numPr>
        <w:spacing w:after="0" w:line="240" w:lineRule="auto"/>
        <w:rPr>
          <w:rFonts w:ascii="Constantia" w:hAnsi="Constantia" w:cs="Arial"/>
        </w:rPr>
      </w:pPr>
      <w:r w:rsidRPr="00CE6D3D">
        <w:rPr>
          <w:rFonts w:ascii="Constantia" w:hAnsi="Constantia" w:cs="Arial"/>
        </w:rPr>
        <w:t>Corroborating, supplementing, and annotating newly available sequence data</w:t>
      </w:r>
    </w:p>
    <w:p w:rsidR="00CE6D3D" w:rsidRPr="00CE6D3D" w:rsidRDefault="00CE6D3D" w:rsidP="00CE6D3D">
      <w:pPr>
        <w:numPr>
          <w:ilvl w:val="1"/>
          <w:numId w:val="1"/>
        </w:numPr>
        <w:spacing w:after="0" w:line="240" w:lineRule="auto"/>
        <w:rPr>
          <w:rFonts w:ascii="Constantia" w:hAnsi="Constantia" w:cs="Arial"/>
        </w:rPr>
      </w:pPr>
      <w:r w:rsidRPr="00CE6D3D">
        <w:rPr>
          <w:rFonts w:ascii="Constantia" w:hAnsi="Constantia" w:cs="Arial"/>
        </w:rPr>
        <w:t>Compared to other legumes (where available)</w:t>
      </w:r>
    </w:p>
    <w:p w:rsidR="00CE6D3D" w:rsidRPr="00CE6D3D" w:rsidRDefault="00CE6D3D" w:rsidP="00CE6D3D">
      <w:pPr>
        <w:spacing w:after="0" w:line="240" w:lineRule="auto"/>
        <w:ind w:left="1440"/>
        <w:rPr>
          <w:rFonts w:ascii="Constantia" w:hAnsi="Constantia" w:cs="Arial"/>
        </w:rPr>
      </w:pPr>
    </w:p>
    <w:p w:rsidR="00CE6D3D" w:rsidRPr="00CE6D3D" w:rsidRDefault="00CE6D3D" w:rsidP="00CE6D3D">
      <w:pPr>
        <w:numPr>
          <w:ilvl w:val="0"/>
          <w:numId w:val="1"/>
        </w:numPr>
        <w:spacing w:after="0" w:line="240" w:lineRule="auto"/>
        <w:rPr>
          <w:rFonts w:ascii="Constantia" w:hAnsi="Constantia" w:cs="Arial"/>
        </w:rPr>
      </w:pPr>
      <w:r w:rsidRPr="00CE6D3D">
        <w:rPr>
          <w:rFonts w:ascii="Constantia" w:hAnsi="Constantia" w:cs="Arial"/>
          <w:b/>
        </w:rPr>
        <w:t>Chapter 3</w:t>
      </w:r>
      <w:r w:rsidRPr="00CE6D3D">
        <w:rPr>
          <w:rFonts w:ascii="Constantia" w:hAnsi="Constantia" w:cs="Arial"/>
        </w:rPr>
        <w:t>: Expression patterns of PRP1-3 (and PRP4) in transgenic hairy roots</w:t>
      </w:r>
    </w:p>
    <w:p w:rsidR="00CE6D3D" w:rsidRPr="00CE6D3D" w:rsidRDefault="00CE6D3D" w:rsidP="00CE6D3D">
      <w:pPr>
        <w:spacing w:after="0" w:line="240" w:lineRule="auto"/>
        <w:ind w:left="1080"/>
        <w:rPr>
          <w:rFonts w:ascii="Constantia" w:hAnsi="Constantia" w:cs="Arial"/>
        </w:rPr>
      </w:pPr>
    </w:p>
    <w:p w:rsidR="00CE6D3D" w:rsidRPr="00CE6D3D" w:rsidRDefault="00CE6D3D" w:rsidP="00CE6D3D">
      <w:pPr>
        <w:numPr>
          <w:ilvl w:val="1"/>
          <w:numId w:val="1"/>
        </w:numPr>
        <w:spacing w:after="0" w:line="240" w:lineRule="auto"/>
        <w:rPr>
          <w:rFonts w:ascii="Constantia" w:hAnsi="Constantia" w:cs="Arial"/>
        </w:rPr>
      </w:pPr>
      <w:r w:rsidRPr="00CE6D3D">
        <w:rPr>
          <w:rFonts w:ascii="Constantia" w:hAnsi="Constantia" w:cs="Arial"/>
        </w:rPr>
        <w:t xml:space="preserve">Cloning and subcloning the promoters </w:t>
      </w:r>
    </w:p>
    <w:p w:rsidR="00CE6D3D" w:rsidRPr="00CE6D3D" w:rsidRDefault="00CE6D3D" w:rsidP="00CE6D3D">
      <w:pPr>
        <w:numPr>
          <w:ilvl w:val="2"/>
          <w:numId w:val="1"/>
        </w:numPr>
        <w:spacing w:after="0" w:line="240" w:lineRule="auto"/>
        <w:rPr>
          <w:rFonts w:ascii="Constantia" w:hAnsi="Constantia" w:cs="Arial"/>
        </w:rPr>
      </w:pPr>
      <w:r w:rsidRPr="00CE6D3D">
        <w:rPr>
          <w:rFonts w:ascii="Constantia" w:hAnsi="Constantia" w:cs="Arial"/>
        </w:rPr>
        <w:t>From a commercially available BAC library</w:t>
      </w:r>
    </w:p>
    <w:p w:rsidR="00CE6D3D" w:rsidRPr="00CE6D3D" w:rsidRDefault="00CE6D3D" w:rsidP="00CE6D3D">
      <w:pPr>
        <w:numPr>
          <w:ilvl w:val="2"/>
          <w:numId w:val="1"/>
        </w:numPr>
        <w:spacing w:after="0" w:line="240" w:lineRule="auto"/>
        <w:rPr>
          <w:rFonts w:ascii="Constantia" w:hAnsi="Constantia" w:cs="Arial"/>
        </w:rPr>
      </w:pPr>
      <w:r w:rsidRPr="00CE6D3D">
        <w:rPr>
          <w:rFonts w:ascii="Constantia" w:hAnsi="Constantia" w:cs="Arial"/>
        </w:rPr>
        <w:t>Using newly available sequence data</w:t>
      </w:r>
    </w:p>
    <w:p w:rsidR="00CE6D3D" w:rsidRPr="00CE6D3D" w:rsidRDefault="00CE6D3D" w:rsidP="00CE6D3D">
      <w:pPr>
        <w:numPr>
          <w:ilvl w:val="1"/>
          <w:numId w:val="1"/>
        </w:numPr>
        <w:spacing w:after="0" w:line="240" w:lineRule="auto"/>
        <w:rPr>
          <w:rFonts w:ascii="Constantia" w:hAnsi="Constantia" w:cs="Arial"/>
        </w:rPr>
      </w:pPr>
      <w:r w:rsidRPr="00CE6D3D">
        <w:rPr>
          <w:rFonts w:ascii="Constantia" w:hAnsi="Constantia" w:cs="Arial"/>
        </w:rPr>
        <w:t xml:space="preserve">Results from GUS fusions in stably transformed </w:t>
      </w:r>
      <w:r w:rsidRPr="00CE6D3D">
        <w:rPr>
          <w:rFonts w:ascii="Constantia" w:hAnsi="Constantia" w:cs="Arial"/>
          <w:i/>
        </w:rPr>
        <w:t>Arabidopsis</w:t>
      </w:r>
      <w:r w:rsidRPr="00CE6D3D">
        <w:rPr>
          <w:rFonts w:ascii="Constantia" w:hAnsi="Constantia" w:cs="Arial"/>
        </w:rPr>
        <w:t xml:space="preserve"> seedlings and hairy roots (where available)</w:t>
      </w:r>
    </w:p>
    <w:p w:rsidR="00CE6D3D" w:rsidRPr="00CE6D3D" w:rsidRDefault="00CE6D3D" w:rsidP="00CE6D3D">
      <w:pPr>
        <w:numPr>
          <w:ilvl w:val="1"/>
          <w:numId w:val="1"/>
        </w:numPr>
        <w:spacing w:after="0" w:line="240" w:lineRule="auto"/>
        <w:rPr>
          <w:rFonts w:ascii="Constantia" w:hAnsi="Constantia" w:cs="Arial"/>
        </w:rPr>
      </w:pPr>
      <w:r w:rsidRPr="00CE6D3D">
        <w:rPr>
          <w:rFonts w:ascii="Constantia" w:hAnsi="Constantia" w:cs="Arial"/>
        </w:rPr>
        <w:t xml:space="preserve">Results from GUS fusions in </w:t>
      </w:r>
      <w:r w:rsidRPr="00CE6D3D">
        <w:rPr>
          <w:rFonts w:ascii="Constantia" w:hAnsi="Constantia" w:cs="Arial"/>
          <w:i/>
        </w:rPr>
        <w:t xml:space="preserve">M. truncatula </w:t>
      </w:r>
      <w:r w:rsidRPr="00CE6D3D">
        <w:rPr>
          <w:rFonts w:ascii="Constantia" w:hAnsi="Constantia" w:cs="Arial"/>
        </w:rPr>
        <w:t>hairy roots</w:t>
      </w:r>
    </w:p>
    <w:p w:rsidR="00CE6D3D" w:rsidRPr="00CE6D3D" w:rsidRDefault="00CE6D3D" w:rsidP="00CE6D3D">
      <w:pPr>
        <w:numPr>
          <w:ilvl w:val="2"/>
          <w:numId w:val="1"/>
        </w:numPr>
        <w:spacing w:after="0" w:line="240" w:lineRule="auto"/>
        <w:rPr>
          <w:rFonts w:ascii="Constantia" w:hAnsi="Constantia" w:cs="Arial"/>
        </w:rPr>
      </w:pPr>
      <w:r w:rsidRPr="00CE6D3D">
        <w:rPr>
          <w:rFonts w:ascii="Constantia" w:hAnsi="Constantia" w:cs="Arial"/>
        </w:rPr>
        <w:t>Whole roots</w:t>
      </w:r>
    </w:p>
    <w:p w:rsidR="00CE6D3D" w:rsidRPr="00CE6D3D" w:rsidRDefault="00CE6D3D" w:rsidP="00CE6D3D">
      <w:pPr>
        <w:numPr>
          <w:ilvl w:val="2"/>
          <w:numId w:val="1"/>
        </w:numPr>
        <w:spacing w:after="0" w:line="240" w:lineRule="auto"/>
        <w:rPr>
          <w:rFonts w:ascii="Constantia" w:hAnsi="Constantia" w:cs="Arial"/>
        </w:rPr>
      </w:pPr>
      <w:r w:rsidRPr="00CE6D3D">
        <w:rPr>
          <w:rFonts w:ascii="Constantia" w:hAnsi="Constantia" w:cs="Arial"/>
        </w:rPr>
        <w:t>Cross sections</w:t>
      </w:r>
    </w:p>
    <w:p w:rsidR="00CE6D3D" w:rsidRPr="00CE6D3D" w:rsidRDefault="00CE6D3D" w:rsidP="00CE6D3D">
      <w:pPr>
        <w:spacing w:after="0" w:line="240" w:lineRule="auto"/>
        <w:ind w:left="2160"/>
        <w:rPr>
          <w:rFonts w:ascii="Constantia" w:hAnsi="Constantia" w:cs="Arial"/>
        </w:rPr>
      </w:pPr>
    </w:p>
    <w:p w:rsidR="00CE6D3D" w:rsidRPr="00CE6D3D" w:rsidRDefault="00CE6D3D" w:rsidP="00CE6D3D">
      <w:pPr>
        <w:numPr>
          <w:ilvl w:val="0"/>
          <w:numId w:val="1"/>
        </w:numPr>
        <w:spacing w:after="0" w:line="240" w:lineRule="auto"/>
        <w:rPr>
          <w:rFonts w:ascii="Constantia" w:hAnsi="Constantia" w:cs="Arial"/>
        </w:rPr>
      </w:pPr>
      <w:r w:rsidRPr="00CE6D3D">
        <w:rPr>
          <w:rFonts w:ascii="Constantia" w:hAnsi="Constantia" w:cs="Arial"/>
          <w:b/>
        </w:rPr>
        <w:t>Chapter 4</w:t>
      </w:r>
      <w:r w:rsidRPr="00CE6D3D">
        <w:rPr>
          <w:rFonts w:ascii="Constantia" w:hAnsi="Constantia" w:cs="Arial"/>
        </w:rPr>
        <w:t xml:space="preserve">: Introduction: </w:t>
      </w:r>
      <w:r w:rsidRPr="00CE6D3D">
        <w:rPr>
          <w:rFonts w:ascii="Constantia" w:hAnsi="Constantia" w:cs="Arial"/>
          <w:i/>
        </w:rPr>
        <w:t>Arabidopsis thaliana</w:t>
      </w:r>
      <w:r w:rsidRPr="00CE6D3D">
        <w:rPr>
          <w:rFonts w:ascii="Constantia" w:hAnsi="Constantia" w:cs="Arial"/>
        </w:rPr>
        <w:t xml:space="preserve"> project</w:t>
      </w:r>
    </w:p>
    <w:p w:rsidR="00CE6D3D" w:rsidRPr="00CE6D3D" w:rsidRDefault="00CE6D3D" w:rsidP="00CE6D3D">
      <w:pPr>
        <w:spacing w:after="0" w:line="240" w:lineRule="auto"/>
        <w:ind w:left="1080"/>
        <w:rPr>
          <w:rFonts w:ascii="Constantia" w:hAnsi="Constantia" w:cs="Arial"/>
        </w:rPr>
      </w:pPr>
    </w:p>
    <w:p w:rsidR="00CE6D3D" w:rsidRPr="00CE6D3D" w:rsidRDefault="00CE6D3D" w:rsidP="00CE6D3D">
      <w:pPr>
        <w:numPr>
          <w:ilvl w:val="1"/>
          <w:numId w:val="1"/>
        </w:numPr>
        <w:spacing w:after="0" w:line="240" w:lineRule="auto"/>
        <w:rPr>
          <w:rFonts w:ascii="Constantia" w:hAnsi="Constantia" w:cs="Arial"/>
        </w:rPr>
      </w:pPr>
      <w:r w:rsidRPr="00CE6D3D">
        <w:rPr>
          <w:rFonts w:ascii="Constantia" w:hAnsi="Constantia" w:cs="Arial"/>
        </w:rPr>
        <w:t>Plant stress response</w:t>
      </w:r>
    </w:p>
    <w:p w:rsidR="00CE6D3D" w:rsidRPr="00CE6D3D" w:rsidRDefault="00CE6D3D" w:rsidP="00CE6D3D">
      <w:pPr>
        <w:numPr>
          <w:ilvl w:val="1"/>
          <w:numId w:val="1"/>
        </w:numPr>
        <w:spacing w:after="0" w:line="240" w:lineRule="auto"/>
        <w:rPr>
          <w:rFonts w:ascii="Constantia" w:hAnsi="Constantia" w:cs="Arial"/>
        </w:rPr>
      </w:pPr>
      <w:r w:rsidRPr="00CE6D3D">
        <w:rPr>
          <w:rFonts w:ascii="Constantia" w:hAnsi="Constantia" w:cs="Arial"/>
        </w:rPr>
        <w:t>Desiccation tolerance and ABA</w:t>
      </w:r>
    </w:p>
    <w:p w:rsidR="00CE6D3D" w:rsidRPr="00CE6D3D" w:rsidRDefault="00CE6D3D" w:rsidP="00CE6D3D">
      <w:pPr>
        <w:numPr>
          <w:ilvl w:val="1"/>
          <w:numId w:val="1"/>
        </w:numPr>
        <w:spacing w:after="0" w:line="240" w:lineRule="auto"/>
        <w:rPr>
          <w:rFonts w:ascii="Constantia" w:hAnsi="Constantia" w:cs="Arial"/>
        </w:rPr>
      </w:pPr>
      <w:r w:rsidRPr="00CE6D3D">
        <w:rPr>
          <w:rFonts w:ascii="Constantia" w:hAnsi="Constantia" w:cs="Arial"/>
        </w:rPr>
        <w:t>Core ABA signaling pathway</w:t>
      </w:r>
    </w:p>
    <w:p w:rsidR="00CE6D3D" w:rsidRPr="00CE6D3D" w:rsidRDefault="00CE6D3D" w:rsidP="00CE6D3D">
      <w:pPr>
        <w:numPr>
          <w:ilvl w:val="1"/>
          <w:numId w:val="1"/>
        </w:numPr>
        <w:spacing w:after="0" w:line="240" w:lineRule="auto"/>
        <w:rPr>
          <w:rFonts w:ascii="Constantia" w:hAnsi="Constantia" w:cs="Arial"/>
        </w:rPr>
      </w:pPr>
      <w:r w:rsidRPr="00CE6D3D">
        <w:rPr>
          <w:rFonts w:ascii="Constantia" w:hAnsi="Constantia" w:cs="Arial"/>
        </w:rPr>
        <w:t>ABI5-binding proteins (AFPs)</w:t>
      </w:r>
    </w:p>
    <w:p w:rsidR="00CE6D3D" w:rsidRPr="00CE6D3D" w:rsidRDefault="00CE6D3D" w:rsidP="00CE6D3D">
      <w:pPr>
        <w:numPr>
          <w:ilvl w:val="1"/>
          <w:numId w:val="1"/>
        </w:numPr>
        <w:spacing w:after="0" w:line="240" w:lineRule="auto"/>
        <w:rPr>
          <w:rFonts w:ascii="Constantia" w:hAnsi="Constantia" w:cs="Arial"/>
        </w:rPr>
      </w:pPr>
      <w:r w:rsidRPr="00CE6D3D">
        <w:rPr>
          <w:rFonts w:ascii="Constantia" w:hAnsi="Constantia" w:cs="Arial"/>
        </w:rPr>
        <w:t>The search for AFP-interacting proteins using a yeast two-hybrid screen</w:t>
      </w:r>
    </w:p>
    <w:p w:rsidR="00CE6D3D" w:rsidRPr="00CE6D3D" w:rsidRDefault="00CE6D3D" w:rsidP="00CE6D3D">
      <w:pPr>
        <w:numPr>
          <w:ilvl w:val="2"/>
          <w:numId w:val="1"/>
        </w:numPr>
        <w:spacing w:after="0" w:line="240" w:lineRule="auto"/>
        <w:rPr>
          <w:rFonts w:ascii="Constantia" w:hAnsi="Constantia" w:cs="Arial"/>
        </w:rPr>
      </w:pPr>
      <w:r w:rsidRPr="00CE6D3D">
        <w:rPr>
          <w:rFonts w:ascii="Constantia" w:hAnsi="Constantia" w:cs="Arial"/>
        </w:rPr>
        <w:t>Core signaling pathway components</w:t>
      </w:r>
    </w:p>
    <w:p w:rsidR="00CE6D3D" w:rsidRPr="00CE6D3D" w:rsidRDefault="00CE6D3D" w:rsidP="00CE6D3D">
      <w:pPr>
        <w:numPr>
          <w:ilvl w:val="2"/>
          <w:numId w:val="1"/>
        </w:numPr>
        <w:spacing w:after="0" w:line="240" w:lineRule="auto"/>
        <w:rPr>
          <w:rFonts w:ascii="Constantia" w:hAnsi="Constantia" w:cs="Arial"/>
        </w:rPr>
      </w:pPr>
      <w:r w:rsidRPr="00CE6D3D">
        <w:rPr>
          <w:rFonts w:ascii="Constantia" w:hAnsi="Constantia" w:cs="Arial"/>
        </w:rPr>
        <w:lastRenderedPageBreak/>
        <w:t>CRK8</w:t>
      </w:r>
    </w:p>
    <w:p w:rsidR="00CE6D3D" w:rsidRPr="00CE6D3D" w:rsidRDefault="00CE6D3D" w:rsidP="00CE6D3D">
      <w:pPr>
        <w:numPr>
          <w:ilvl w:val="1"/>
          <w:numId w:val="1"/>
        </w:numPr>
        <w:spacing w:after="0" w:line="240" w:lineRule="auto"/>
        <w:rPr>
          <w:rFonts w:ascii="Constantia" w:hAnsi="Constantia" w:cs="Arial"/>
        </w:rPr>
      </w:pPr>
      <w:r w:rsidRPr="00CE6D3D">
        <w:rPr>
          <w:rFonts w:ascii="Constantia" w:hAnsi="Constantia" w:cs="Arial"/>
        </w:rPr>
        <w:t>Role of AFPs in transcriptional repression via chromatin remodeling</w:t>
      </w:r>
    </w:p>
    <w:p w:rsidR="00CE6D3D" w:rsidRPr="00CE6D3D" w:rsidRDefault="00CE6D3D" w:rsidP="00CE6D3D">
      <w:pPr>
        <w:numPr>
          <w:ilvl w:val="1"/>
          <w:numId w:val="1"/>
        </w:numPr>
        <w:spacing w:after="0" w:line="240" w:lineRule="auto"/>
        <w:rPr>
          <w:rFonts w:ascii="Constantia" w:hAnsi="Constantia" w:cs="Arial"/>
        </w:rPr>
      </w:pPr>
      <w:r w:rsidRPr="00CE6D3D">
        <w:rPr>
          <w:rFonts w:ascii="Constantia" w:hAnsi="Constantia" w:cs="Arial"/>
        </w:rPr>
        <w:t>The potential role(s) of AFPs in the core signaling pathway (preliminary data)</w:t>
      </w:r>
    </w:p>
    <w:p w:rsidR="00CE6D3D" w:rsidRPr="00CE6D3D" w:rsidRDefault="00CE6D3D" w:rsidP="00CE6D3D">
      <w:pPr>
        <w:spacing w:after="0" w:line="240" w:lineRule="auto"/>
        <w:ind w:left="2160"/>
        <w:rPr>
          <w:rFonts w:ascii="Constantia" w:hAnsi="Constantia" w:cs="Arial"/>
        </w:rPr>
      </w:pPr>
    </w:p>
    <w:p w:rsidR="00CE6D3D" w:rsidRPr="00CE6D3D" w:rsidRDefault="00CE6D3D" w:rsidP="00CE6D3D">
      <w:pPr>
        <w:numPr>
          <w:ilvl w:val="0"/>
          <w:numId w:val="1"/>
        </w:numPr>
        <w:spacing w:after="0" w:line="240" w:lineRule="auto"/>
        <w:rPr>
          <w:rFonts w:ascii="Constantia" w:hAnsi="Constantia" w:cs="Arial"/>
        </w:rPr>
      </w:pPr>
      <w:r w:rsidRPr="00CE6D3D">
        <w:rPr>
          <w:rFonts w:ascii="Constantia" w:hAnsi="Constantia" w:cs="Arial"/>
          <w:b/>
        </w:rPr>
        <w:t>Chapter 5</w:t>
      </w:r>
      <w:r w:rsidRPr="00CE6D3D">
        <w:rPr>
          <w:rFonts w:ascii="Constantia" w:hAnsi="Constantia" w:cs="Arial"/>
        </w:rPr>
        <w:t>: AFP domain mapping: -A, -AB, -B, -BC, -C</w:t>
      </w:r>
    </w:p>
    <w:p w:rsidR="00CE6D3D" w:rsidRPr="00CE6D3D" w:rsidRDefault="00CE6D3D" w:rsidP="00CE6D3D">
      <w:pPr>
        <w:spacing w:after="0" w:line="240" w:lineRule="auto"/>
        <w:ind w:left="1080"/>
        <w:rPr>
          <w:rFonts w:ascii="Constantia" w:hAnsi="Constantia" w:cs="Arial"/>
        </w:rPr>
      </w:pPr>
    </w:p>
    <w:p w:rsidR="00CE6D3D" w:rsidRPr="00CE6D3D" w:rsidRDefault="00CE6D3D" w:rsidP="00CE6D3D">
      <w:pPr>
        <w:numPr>
          <w:ilvl w:val="1"/>
          <w:numId w:val="1"/>
        </w:numPr>
        <w:spacing w:after="0" w:line="240" w:lineRule="auto"/>
        <w:rPr>
          <w:rFonts w:ascii="Constantia" w:hAnsi="Constantia" w:cs="Arial"/>
        </w:rPr>
      </w:pPr>
      <w:r w:rsidRPr="00CE6D3D">
        <w:rPr>
          <w:rFonts w:ascii="Constantia" w:hAnsi="Constantia" w:cs="Arial"/>
        </w:rPr>
        <w:t>ABA insensitivity of 35S-YFP-AFP lines at germination in stably transformed</w:t>
      </w:r>
      <w:r w:rsidRPr="00CE6D3D">
        <w:rPr>
          <w:rFonts w:ascii="Constantia" w:hAnsi="Constantia" w:cs="Arial"/>
          <w:i/>
        </w:rPr>
        <w:t xml:space="preserve"> </w:t>
      </w:r>
      <w:r w:rsidRPr="00CE6D3D">
        <w:rPr>
          <w:rFonts w:ascii="Constantia" w:hAnsi="Constantia" w:cs="Arial"/>
        </w:rPr>
        <w:t>seedlings</w:t>
      </w:r>
    </w:p>
    <w:p w:rsidR="00CE6D3D" w:rsidRPr="00CE6D3D" w:rsidRDefault="00CE6D3D" w:rsidP="00CE6D3D">
      <w:pPr>
        <w:numPr>
          <w:ilvl w:val="2"/>
          <w:numId w:val="1"/>
        </w:numPr>
        <w:spacing w:after="0" w:line="240" w:lineRule="auto"/>
        <w:rPr>
          <w:rFonts w:ascii="Constantia" w:hAnsi="Constantia" w:cs="Arial"/>
        </w:rPr>
      </w:pPr>
      <w:r w:rsidRPr="00CE6D3D">
        <w:rPr>
          <w:rFonts w:ascii="Constantia" w:hAnsi="Constantia" w:cs="Arial"/>
        </w:rPr>
        <w:t>Determining expression levels by Western</w:t>
      </w:r>
    </w:p>
    <w:p w:rsidR="00CE6D3D" w:rsidRPr="00CE6D3D" w:rsidRDefault="00CE6D3D" w:rsidP="00CE6D3D">
      <w:pPr>
        <w:numPr>
          <w:ilvl w:val="1"/>
          <w:numId w:val="1"/>
        </w:numPr>
        <w:spacing w:after="0" w:line="240" w:lineRule="auto"/>
        <w:rPr>
          <w:rFonts w:ascii="Constantia" w:hAnsi="Constantia" w:cs="Arial"/>
        </w:rPr>
      </w:pPr>
      <w:r w:rsidRPr="00CE6D3D">
        <w:rPr>
          <w:rFonts w:ascii="Constantia" w:hAnsi="Constantia" w:cs="Arial"/>
        </w:rPr>
        <w:t>Subcellular localization of YFP-AFP proteins</w:t>
      </w:r>
    </w:p>
    <w:p w:rsidR="00CE6D3D" w:rsidRPr="00CE6D3D" w:rsidRDefault="00CE6D3D" w:rsidP="00CE6D3D">
      <w:pPr>
        <w:numPr>
          <w:ilvl w:val="2"/>
          <w:numId w:val="1"/>
        </w:numPr>
        <w:spacing w:after="0" w:line="240" w:lineRule="auto"/>
        <w:rPr>
          <w:rFonts w:ascii="Constantia" w:hAnsi="Constantia" w:cs="Arial"/>
        </w:rPr>
      </w:pPr>
      <w:r w:rsidRPr="00CE6D3D">
        <w:rPr>
          <w:rFonts w:ascii="Constantia" w:hAnsi="Constantia" w:cs="Arial"/>
        </w:rPr>
        <w:t>Stably transformed seedlings</w:t>
      </w:r>
    </w:p>
    <w:p w:rsidR="00CE6D3D" w:rsidRPr="00CE6D3D" w:rsidRDefault="00CE6D3D" w:rsidP="00CE6D3D">
      <w:pPr>
        <w:numPr>
          <w:ilvl w:val="2"/>
          <w:numId w:val="1"/>
        </w:numPr>
        <w:spacing w:after="0" w:line="240" w:lineRule="auto"/>
        <w:rPr>
          <w:rFonts w:ascii="Constantia" w:hAnsi="Constantia" w:cs="Arial"/>
        </w:rPr>
      </w:pPr>
      <w:r w:rsidRPr="00CE6D3D">
        <w:rPr>
          <w:rFonts w:ascii="Constantia" w:hAnsi="Constantia" w:cs="Arial"/>
        </w:rPr>
        <w:t xml:space="preserve">Transient overexpression in </w:t>
      </w:r>
      <w:r w:rsidRPr="00CE6D3D">
        <w:rPr>
          <w:rFonts w:ascii="Constantia" w:hAnsi="Constantia" w:cs="Arial"/>
          <w:i/>
        </w:rPr>
        <w:t>Nicotiana benthamiana</w:t>
      </w:r>
      <w:r w:rsidRPr="00CE6D3D">
        <w:rPr>
          <w:rFonts w:ascii="Constantia" w:hAnsi="Constantia" w:cs="Arial"/>
        </w:rPr>
        <w:t xml:space="preserve"> leaves</w:t>
      </w:r>
    </w:p>
    <w:p w:rsidR="00CE6D3D" w:rsidRPr="00CE6D3D" w:rsidRDefault="00CE6D3D" w:rsidP="00CE6D3D">
      <w:pPr>
        <w:numPr>
          <w:ilvl w:val="1"/>
          <w:numId w:val="1"/>
        </w:numPr>
        <w:spacing w:after="0" w:line="240" w:lineRule="auto"/>
        <w:rPr>
          <w:rFonts w:ascii="Constantia" w:hAnsi="Constantia" w:cs="Arial"/>
        </w:rPr>
      </w:pPr>
      <w:r w:rsidRPr="00CE6D3D">
        <w:rPr>
          <w:rFonts w:ascii="Constantia" w:hAnsi="Constantia" w:cs="Arial"/>
        </w:rPr>
        <w:t>Biomolecular fluorescence complementation versus PP2C/SnRK (and CRK8, HDAC, SAP18?)</w:t>
      </w:r>
    </w:p>
    <w:p w:rsidR="00CE6D3D" w:rsidRPr="00CE6D3D" w:rsidRDefault="00CE6D3D" w:rsidP="00CE6D3D">
      <w:pPr>
        <w:spacing w:after="0" w:line="240" w:lineRule="auto"/>
        <w:ind w:left="1440"/>
        <w:rPr>
          <w:rFonts w:ascii="Constantia" w:hAnsi="Constantia" w:cs="Arial"/>
        </w:rPr>
      </w:pPr>
    </w:p>
    <w:p w:rsidR="00CE6D3D" w:rsidRPr="00CE6D3D" w:rsidRDefault="00CE6D3D" w:rsidP="00CE6D3D">
      <w:pPr>
        <w:numPr>
          <w:ilvl w:val="0"/>
          <w:numId w:val="1"/>
        </w:numPr>
        <w:spacing w:after="0" w:line="240" w:lineRule="auto"/>
        <w:rPr>
          <w:rFonts w:ascii="Constantia" w:hAnsi="Constantia" w:cs="Arial"/>
        </w:rPr>
      </w:pPr>
      <w:r w:rsidRPr="00CE6D3D">
        <w:rPr>
          <w:rFonts w:ascii="Constantia" w:hAnsi="Constantia" w:cs="Arial"/>
          <w:b/>
        </w:rPr>
        <w:t>Chapter 6</w:t>
      </w:r>
      <w:r w:rsidRPr="00CE6D3D">
        <w:rPr>
          <w:rFonts w:ascii="Constantia" w:hAnsi="Constantia" w:cs="Arial"/>
        </w:rPr>
        <w:t>: Conclusions and Future Directions</w:t>
      </w:r>
    </w:p>
    <w:p w:rsidR="00CE6D3D" w:rsidRPr="00CE6D3D" w:rsidRDefault="00CE6D3D" w:rsidP="00CE6D3D">
      <w:pPr>
        <w:spacing w:after="0" w:line="240" w:lineRule="auto"/>
        <w:ind w:left="1080"/>
        <w:rPr>
          <w:rFonts w:ascii="Constantia" w:hAnsi="Constantia" w:cs="Arial"/>
        </w:rPr>
      </w:pPr>
    </w:p>
    <w:p w:rsidR="00CE6D3D" w:rsidRPr="00CE6D3D" w:rsidRDefault="00CE6D3D" w:rsidP="00CE6D3D">
      <w:pPr>
        <w:numPr>
          <w:ilvl w:val="1"/>
          <w:numId w:val="1"/>
        </w:numPr>
        <w:spacing w:after="0" w:line="240" w:lineRule="auto"/>
        <w:rPr>
          <w:rFonts w:ascii="Constantia" w:hAnsi="Constantia" w:cs="Arial"/>
        </w:rPr>
      </w:pPr>
      <w:r w:rsidRPr="00CE6D3D">
        <w:rPr>
          <w:rFonts w:ascii="Constantia" w:hAnsi="Constantia" w:cs="Arial"/>
          <w:i/>
        </w:rPr>
        <w:t>M. truncatula</w:t>
      </w:r>
      <w:r w:rsidRPr="00CE6D3D">
        <w:rPr>
          <w:rFonts w:ascii="Constantia" w:hAnsi="Constantia" w:cs="Arial"/>
        </w:rPr>
        <w:t xml:space="preserve"> project</w:t>
      </w:r>
    </w:p>
    <w:p w:rsidR="00CE6D3D" w:rsidRPr="00CE6D3D" w:rsidRDefault="00CE6D3D" w:rsidP="00CE6D3D">
      <w:pPr>
        <w:numPr>
          <w:ilvl w:val="1"/>
          <w:numId w:val="1"/>
        </w:numPr>
        <w:spacing w:after="0" w:line="240" w:lineRule="auto"/>
        <w:rPr>
          <w:rFonts w:ascii="Constantia" w:hAnsi="Constantia" w:cs="Arial"/>
        </w:rPr>
      </w:pPr>
      <w:r w:rsidRPr="00CE6D3D">
        <w:rPr>
          <w:rFonts w:ascii="Constantia" w:hAnsi="Constantia" w:cs="Arial"/>
          <w:i/>
        </w:rPr>
        <w:t xml:space="preserve">A. thaliana </w:t>
      </w:r>
      <w:r w:rsidRPr="00CE6D3D">
        <w:rPr>
          <w:rFonts w:ascii="Constantia" w:hAnsi="Constantia" w:cs="Arial"/>
        </w:rPr>
        <w:t>project</w:t>
      </w:r>
    </w:p>
    <w:p w:rsidR="00CE6D3D" w:rsidRPr="00CE6D3D" w:rsidRDefault="00CE6D3D" w:rsidP="00CE6D3D">
      <w:pPr>
        <w:spacing w:after="0" w:line="240" w:lineRule="auto"/>
        <w:rPr>
          <w:rFonts w:ascii="Constantia" w:hAnsi="Constantia" w:cs="Arial"/>
        </w:rPr>
      </w:pPr>
    </w:p>
    <w:p w:rsidR="00CE6D3D" w:rsidRPr="00CE6D3D" w:rsidRDefault="00CE6D3D">
      <w:pPr>
        <w:rPr>
          <w:rFonts w:ascii="Constantia" w:hAnsi="Constantia"/>
        </w:rPr>
      </w:pPr>
    </w:p>
    <w:sectPr w:rsidR="00CE6D3D" w:rsidRPr="00CE6D3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0D8" w:rsidRDefault="001C60D8" w:rsidP="007126FD">
      <w:pPr>
        <w:spacing w:after="0" w:line="240" w:lineRule="auto"/>
      </w:pPr>
      <w:r>
        <w:separator/>
      </w:r>
    </w:p>
  </w:endnote>
  <w:endnote w:type="continuationSeparator" w:id="0">
    <w:p w:rsidR="001C60D8" w:rsidRDefault="001C60D8" w:rsidP="00712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0385359"/>
      <w:docPartObj>
        <w:docPartGallery w:val="Page Numbers (Bottom of Page)"/>
        <w:docPartUnique/>
      </w:docPartObj>
    </w:sdtPr>
    <w:sdtEndPr>
      <w:rPr>
        <w:color w:val="808080" w:themeColor="background1" w:themeShade="80"/>
        <w:spacing w:val="60"/>
      </w:rPr>
    </w:sdtEndPr>
    <w:sdtContent>
      <w:p w:rsidR="007126FD" w:rsidRDefault="007126FD">
        <w:pPr>
          <w:pStyle w:val="Footer"/>
          <w:pBdr>
            <w:top w:val="single" w:sz="4" w:space="1" w:color="D9D9D9" w:themeColor="background1" w:themeShade="D9"/>
          </w:pBdr>
          <w:jc w:val="right"/>
        </w:pPr>
        <w:r>
          <w:fldChar w:fldCharType="begin"/>
        </w:r>
        <w:r>
          <w:instrText xml:space="preserve"> PAGE   \* MERGEFORMAT </w:instrText>
        </w:r>
        <w:r>
          <w:fldChar w:fldCharType="separate"/>
        </w:r>
        <w:r w:rsidR="00FF6479">
          <w:rPr>
            <w:noProof/>
          </w:rPr>
          <w:t>1</w:t>
        </w:r>
        <w:r>
          <w:rPr>
            <w:noProof/>
          </w:rPr>
          <w:fldChar w:fldCharType="end"/>
        </w:r>
        <w:r>
          <w:t xml:space="preserve"> | </w:t>
        </w:r>
        <w:r>
          <w:rPr>
            <w:color w:val="808080" w:themeColor="background1" w:themeShade="80"/>
            <w:spacing w:val="60"/>
          </w:rPr>
          <w:t>Page</w:t>
        </w:r>
      </w:p>
    </w:sdtContent>
  </w:sdt>
  <w:p w:rsidR="007126FD" w:rsidRDefault="007126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0D8" w:rsidRDefault="001C60D8" w:rsidP="007126FD">
      <w:pPr>
        <w:spacing w:after="0" w:line="240" w:lineRule="auto"/>
      </w:pPr>
      <w:r>
        <w:separator/>
      </w:r>
    </w:p>
  </w:footnote>
  <w:footnote w:type="continuationSeparator" w:id="0">
    <w:p w:rsidR="001C60D8" w:rsidRDefault="001C60D8" w:rsidP="007126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FE7806"/>
    <w:multiLevelType w:val="hybridMultilevel"/>
    <w:tmpl w:val="8A7641CE"/>
    <w:lvl w:ilvl="0" w:tplc="0C567DAC">
      <w:start w:val="1"/>
      <w:numFmt w:val="decimal"/>
      <w:lvlText w:val="%1)"/>
      <w:lvlJc w:val="left"/>
      <w:pPr>
        <w:tabs>
          <w:tab w:val="num" w:pos="720"/>
        </w:tabs>
        <w:ind w:left="720" w:hanging="360"/>
      </w:pPr>
    </w:lvl>
    <w:lvl w:ilvl="1" w:tplc="9070C0EC" w:tentative="1">
      <w:start w:val="1"/>
      <w:numFmt w:val="decimal"/>
      <w:lvlText w:val="%2)"/>
      <w:lvlJc w:val="left"/>
      <w:pPr>
        <w:tabs>
          <w:tab w:val="num" w:pos="1440"/>
        </w:tabs>
        <w:ind w:left="1440" w:hanging="360"/>
      </w:pPr>
    </w:lvl>
    <w:lvl w:ilvl="2" w:tplc="BA549782" w:tentative="1">
      <w:start w:val="1"/>
      <w:numFmt w:val="decimal"/>
      <w:lvlText w:val="%3)"/>
      <w:lvlJc w:val="left"/>
      <w:pPr>
        <w:tabs>
          <w:tab w:val="num" w:pos="2160"/>
        </w:tabs>
        <w:ind w:left="2160" w:hanging="360"/>
      </w:pPr>
    </w:lvl>
    <w:lvl w:ilvl="3" w:tplc="E2AA27AA" w:tentative="1">
      <w:start w:val="1"/>
      <w:numFmt w:val="decimal"/>
      <w:lvlText w:val="%4)"/>
      <w:lvlJc w:val="left"/>
      <w:pPr>
        <w:tabs>
          <w:tab w:val="num" w:pos="2880"/>
        </w:tabs>
        <w:ind w:left="2880" w:hanging="360"/>
      </w:pPr>
    </w:lvl>
    <w:lvl w:ilvl="4" w:tplc="F9CCCE4E" w:tentative="1">
      <w:start w:val="1"/>
      <w:numFmt w:val="decimal"/>
      <w:lvlText w:val="%5)"/>
      <w:lvlJc w:val="left"/>
      <w:pPr>
        <w:tabs>
          <w:tab w:val="num" w:pos="3600"/>
        </w:tabs>
        <w:ind w:left="3600" w:hanging="360"/>
      </w:pPr>
    </w:lvl>
    <w:lvl w:ilvl="5" w:tplc="020C082C" w:tentative="1">
      <w:start w:val="1"/>
      <w:numFmt w:val="decimal"/>
      <w:lvlText w:val="%6)"/>
      <w:lvlJc w:val="left"/>
      <w:pPr>
        <w:tabs>
          <w:tab w:val="num" w:pos="4320"/>
        </w:tabs>
        <w:ind w:left="4320" w:hanging="360"/>
      </w:pPr>
    </w:lvl>
    <w:lvl w:ilvl="6" w:tplc="DF9E2E12" w:tentative="1">
      <w:start w:val="1"/>
      <w:numFmt w:val="decimal"/>
      <w:lvlText w:val="%7)"/>
      <w:lvlJc w:val="left"/>
      <w:pPr>
        <w:tabs>
          <w:tab w:val="num" w:pos="5040"/>
        </w:tabs>
        <w:ind w:left="5040" w:hanging="360"/>
      </w:pPr>
    </w:lvl>
    <w:lvl w:ilvl="7" w:tplc="D102E898" w:tentative="1">
      <w:start w:val="1"/>
      <w:numFmt w:val="decimal"/>
      <w:lvlText w:val="%8)"/>
      <w:lvlJc w:val="left"/>
      <w:pPr>
        <w:tabs>
          <w:tab w:val="num" w:pos="5760"/>
        </w:tabs>
        <w:ind w:left="5760" w:hanging="360"/>
      </w:pPr>
    </w:lvl>
    <w:lvl w:ilvl="8" w:tplc="C43A7708" w:tentative="1">
      <w:start w:val="1"/>
      <w:numFmt w:val="decimal"/>
      <w:lvlText w:val="%9)"/>
      <w:lvlJc w:val="left"/>
      <w:pPr>
        <w:tabs>
          <w:tab w:val="num" w:pos="6480"/>
        </w:tabs>
        <w:ind w:left="6480" w:hanging="360"/>
      </w:pPr>
    </w:lvl>
  </w:abstractNum>
  <w:abstractNum w:abstractNumId="1">
    <w:nsid w:val="6DA47E7C"/>
    <w:multiLevelType w:val="hybridMultilevel"/>
    <w:tmpl w:val="09E4D688"/>
    <w:lvl w:ilvl="0" w:tplc="95CACDC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293"/>
    <w:rsid w:val="001C60D8"/>
    <w:rsid w:val="00246A43"/>
    <w:rsid w:val="002720CF"/>
    <w:rsid w:val="002C217C"/>
    <w:rsid w:val="00345293"/>
    <w:rsid w:val="00384600"/>
    <w:rsid w:val="004705CA"/>
    <w:rsid w:val="00490FC1"/>
    <w:rsid w:val="004C4877"/>
    <w:rsid w:val="00515808"/>
    <w:rsid w:val="00584AB0"/>
    <w:rsid w:val="005B2CA1"/>
    <w:rsid w:val="005D1EE6"/>
    <w:rsid w:val="00600ECF"/>
    <w:rsid w:val="0062326E"/>
    <w:rsid w:val="006265DD"/>
    <w:rsid w:val="00696162"/>
    <w:rsid w:val="006F47A2"/>
    <w:rsid w:val="007126FD"/>
    <w:rsid w:val="0080610C"/>
    <w:rsid w:val="008B6852"/>
    <w:rsid w:val="00951601"/>
    <w:rsid w:val="00AB702E"/>
    <w:rsid w:val="00B70499"/>
    <w:rsid w:val="00B87588"/>
    <w:rsid w:val="00C45B79"/>
    <w:rsid w:val="00CE6D3D"/>
    <w:rsid w:val="00DA30A2"/>
    <w:rsid w:val="00EE08CE"/>
    <w:rsid w:val="00F65ADF"/>
    <w:rsid w:val="00FE60BA"/>
    <w:rsid w:val="00FF6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6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6FD"/>
  </w:style>
  <w:style w:type="paragraph" w:styleId="Footer">
    <w:name w:val="footer"/>
    <w:basedOn w:val="Normal"/>
    <w:link w:val="FooterChar"/>
    <w:uiPriority w:val="99"/>
    <w:unhideWhenUsed/>
    <w:rsid w:val="007126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6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6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6FD"/>
  </w:style>
  <w:style w:type="paragraph" w:styleId="Footer">
    <w:name w:val="footer"/>
    <w:basedOn w:val="Normal"/>
    <w:link w:val="FooterChar"/>
    <w:uiPriority w:val="99"/>
    <w:unhideWhenUsed/>
    <w:rsid w:val="007126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1814389">
      <w:bodyDiv w:val="1"/>
      <w:marLeft w:val="0"/>
      <w:marRight w:val="0"/>
      <w:marTop w:val="0"/>
      <w:marBottom w:val="0"/>
      <w:divBdr>
        <w:top w:val="none" w:sz="0" w:space="0" w:color="auto"/>
        <w:left w:val="none" w:sz="0" w:space="0" w:color="auto"/>
        <w:bottom w:val="none" w:sz="0" w:space="0" w:color="auto"/>
        <w:right w:val="none" w:sz="0" w:space="0" w:color="auto"/>
      </w:divBdr>
      <w:divsChild>
        <w:div w:id="2072804076">
          <w:marLeft w:val="360"/>
          <w:marRight w:val="0"/>
          <w:marTop w:val="86"/>
          <w:marBottom w:val="0"/>
          <w:divBdr>
            <w:top w:val="none" w:sz="0" w:space="0" w:color="auto"/>
            <w:left w:val="none" w:sz="0" w:space="0" w:color="auto"/>
            <w:bottom w:val="none" w:sz="0" w:space="0" w:color="auto"/>
            <w:right w:val="none" w:sz="0" w:space="0" w:color="auto"/>
          </w:divBdr>
        </w:div>
        <w:div w:id="2071885556">
          <w:marLeft w:val="360"/>
          <w:marRight w:val="0"/>
          <w:marTop w:val="86"/>
          <w:marBottom w:val="0"/>
          <w:divBdr>
            <w:top w:val="none" w:sz="0" w:space="0" w:color="auto"/>
            <w:left w:val="none" w:sz="0" w:space="0" w:color="auto"/>
            <w:bottom w:val="none" w:sz="0" w:space="0" w:color="auto"/>
            <w:right w:val="none" w:sz="0" w:space="0" w:color="auto"/>
          </w:divBdr>
        </w:div>
        <w:div w:id="703823027">
          <w:marLeft w:val="360"/>
          <w:marRight w:val="0"/>
          <w:marTop w:val="86"/>
          <w:marBottom w:val="0"/>
          <w:divBdr>
            <w:top w:val="none" w:sz="0" w:space="0" w:color="auto"/>
            <w:left w:val="none" w:sz="0" w:space="0" w:color="auto"/>
            <w:bottom w:val="none" w:sz="0" w:space="0" w:color="auto"/>
            <w:right w:val="none" w:sz="0" w:space="0" w:color="auto"/>
          </w:divBdr>
        </w:div>
        <w:div w:id="863791938">
          <w:marLeft w:val="360"/>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488</TotalTime>
  <Pages>4</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Bethany Joy Erickson</dc:creator>
  <cp:lastModifiedBy>Bethany Joy Erickson</cp:lastModifiedBy>
  <cp:revision>24</cp:revision>
  <dcterms:created xsi:type="dcterms:W3CDTF">2014-05-25T00:29:00Z</dcterms:created>
  <dcterms:modified xsi:type="dcterms:W3CDTF">2014-07-08T22:54:00Z</dcterms:modified>
</cp:coreProperties>
</file>