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Shyamale Meenakshi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Nottuswaram - Chaturshra Eka Tala - Muthuswami Dikshithar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Shyamale Meenakshi - Sundareshwara Saakshi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Shankari Guruguha Samudhbhave Shivevaa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Paarama Mochani Pankaja Lochani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Padhmaasana Vaani Hari Lakshmi Vinuthe Shambhavi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R   G , M ,   P , , ,   P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, N   S’, 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G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Shyaa ma  ley mee   naak    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Sun   da  reshwara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Saak      shi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D ,   M , R ,   G , P ,   G , S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M ,   R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  S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Shanka   ri  Gu    ru  gu    ha   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mudhbha   ve 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       vaa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P , P ,   M , , ,   M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G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R , R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ma  ra   mo        cha  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Pan       ka  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Lo       cha  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P , D P   M , , ,   M ,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G , M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R , 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Padh     maa  sana  vaa      Ni  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Laksh    mi   vinu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the      shambhavi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Nottuswarams - Muthuswami Dikshithar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