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6400"/>
          <w:sz w:val="52"/>
        </w:rPr>
        <w:t>企业风险解决方案报告</w:t>
      </w:r>
    </w:p>
    <w:p/>
    <w:p>
      <w:pPr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华芯精密制造有限公司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报告日期：2026年07月08日</w:t>
      </w:r>
    </w:p>
    <w:p>
      <w:pPr>
        <w:jc w:val="center"/>
      </w:pPr>
      <w:r>
        <w:rPr>
          <w:rFonts w:ascii="微软雅黑" w:hAnsi="微软雅黑" w:eastAsia="微软雅黑"/>
          <w:b w:val="0"/>
          <w:color w:val="828282"/>
          <w:sz w:val="22"/>
        </w:rPr>
        <w:t>本报告基于风险评估结果，针对各维度风险提出系统性整改建议</w:t>
      </w:r>
    </w:p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20"/>
        </w:rPr>
        <w:t>建议按「紧急→短期→中期」优先级逐步落实</w:t>
      </w:r>
    </w:p>
    <w:p>
      <w:r>
        <w:br w:type="page"/>
      </w:r>
    </w:p>
    <w:p>
      <w:pPr>
        <w:pStyle w:val="Heading1"/>
      </w:pPr>
      <w:r>
        <w:rPr>
          <w:color w:val="006400"/>
        </w:rPr>
        <w:t>目  录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一、概述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二、整改优先级矩阵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三、各维度详细解决方案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财务风险解决方案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负债与偿债风险解决方案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行业与市场风险解决方案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法律与合规风险解决方案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税务风险解决方案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公司治理风险解决方案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供应链风险解决方案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技术与信息安全风险解决方案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人力资源风险解决方案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ESG与可持续发展风险解决方案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四、KPI监控指标汇总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五、实施路线图</w:t>
      </w:r>
    </w:p>
    <w:p>
      <w:r>
        <w:br w:type="page"/>
      </w:r>
    </w:p>
    <w:p>
      <w:pPr>
        <w:pStyle w:val="Heading1"/>
      </w:pPr>
      <w:r>
        <w:rPr>
          <w:color w:val="006400"/>
        </w:rPr>
        <w:t>一、概述</w:t>
      </w:r>
    </w:p>
    <w:p>
      <w:r>
        <w:rPr>
          <w:rFonts w:ascii="微软雅黑" w:hAnsi="微软雅黑" w:eastAsia="微软雅黑"/>
          <w:b w:val="0"/>
          <w:sz w:val="22"/>
        </w:rPr>
        <w:t>本解决方案报告基于</w:t>
      </w:r>
      <w:r>
        <w:rPr>
          <w:rFonts w:ascii="微软雅黑" w:hAnsi="微软雅黑" w:eastAsia="微软雅黑"/>
          <w:b/>
          <w:sz w:val="22"/>
        </w:rPr>
        <w:t>华芯精密制造有限公司</w:t>
      </w:r>
      <w:r>
        <w:rPr>
          <w:rFonts w:ascii="微软雅黑" w:hAnsi="微软雅黑" w:eastAsia="微软雅黑"/>
          <w:b w:val="0"/>
          <w:sz w:val="22"/>
        </w:rPr>
        <w:t>的风险评估结果（综合评分 1.86/4.00，中等风险），针对各风险维度提出系统性整改建议和解决方案。</w:t>
      </w:r>
    </w:p>
    <w:p>
      <w:r>
        <w:rPr>
          <w:rFonts w:ascii="微软雅黑" w:hAnsi="微软雅黑" w:eastAsia="微软雅黑"/>
          <w:b/>
          <w:sz w:val="22"/>
        </w:rPr>
        <w:t>报告结构：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每个风险维度按「紧急措施→短期措施→中期措施」分层给出建议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每个维度附KPI监控指标，便于跟踪整改效果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最后提供整体实施路线图，明确时间节点和责任人</w:t>
      </w:r>
    </w:p>
    <w:p>
      <w:r>
        <w:br w:type="page"/>
      </w:r>
    </w:p>
    <w:p>
      <w:pPr>
        <w:pStyle w:val="Heading1"/>
      </w:pPr>
      <w:r>
        <w:rPr>
          <w:color w:val="006400"/>
        </w:rPr>
        <w:t>二、整改优先级矩阵</w:t>
      </w:r>
    </w:p>
    <w:p>
      <w:r>
        <w:rPr>
          <w:rFonts w:ascii="微软雅黑" w:hAnsi="微软雅黑" w:eastAsia="微软雅黑"/>
          <w:b w:val="0"/>
          <w:sz w:val="22"/>
        </w:rPr>
        <w:t>以下按风险评分从高到低排列，评分越高的维度越应优先处理：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建议整改周期</w:t>
            </w:r>
          </w:p>
        </w:tc>
      </w:tr>
      <w:tr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P0-紧急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立即启动，1个月内</w:t>
            </w:r>
          </w:p>
        </w:tc>
      </w:tr>
      <w:tr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P0-紧急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立即启动，1个月内</w:t>
            </w:r>
          </w:p>
        </w:tc>
      </w:tr>
      <w:tr>
        <w:tc>
          <w:tcPr>
            <w:tcW w:type="dxa" w:w="1814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P1-高优先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综合评估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中等风险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1-3个月内</w:t>
            </w:r>
          </w:p>
        </w:tc>
      </w:tr>
      <w:tr>
        <w:tc>
          <w:tcPr>
            <w:tcW w:type="dxa" w:w="1814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P2-中优先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1.50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中等风险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3-6个月内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经营风险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400"/>
        </w:rPr>
        <w:t>三、各维度详细解决方案</w:t>
      </w:r>
    </w:p>
    <w:p>
      <w:pPr>
        <w:pStyle w:val="Heading2"/>
      </w:pPr>
      <w:r>
        <w:rPr>
          <w:color w:val="2E75B6"/>
        </w:rPr>
        <w:t xml:space="preserve">  财务风险解决方案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当前评分：4.00/4.00  |  风险等级：极高风险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针对财务结构、盈利能力、流动性等方面的问题，提出系统性改善方案。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现金流紧急管理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立即盘点现金及应收账款，制定90天现金流预测；暂停非必要资本支出；与银行协商短期授信额度</w:t>
      </w:r>
    </w:p>
    <w:p>
      <w:r>
        <w:rPr>
          <w:rFonts w:ascii="微软雅黑" w:hAnsi="微软雅黑" w:eastAsia="微软雅黑"/>
          <w:b/>
          <w:sz w:val="20"/>
        </w:rPr>
        <w:t xml:space="preserve">  ■ 应收账款催收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成立专项催收小组，对超期账款逐笔跟踪；对恶意拖欠客户启动法律程序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优化资本结构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[紧急]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评估债务重组可能性；引入战略投资者或财务投资者；优化长短期负债比例</w:t>
      </w:r>
    </w:p>
    <w:p>
      <w:r>
        <w:rPr>
          <w:rFonts w:ascii="微软雅黑" w:hAnsi="微软雅黑" w:eastAsia="微软雅黑"/>
          <w:b/>
          <w:sz w:val="20"/>
        </w:rPr>
        <w:t xml:space="preserve">  ■ 成本控制计划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全面成本审计，识别浪费环节；推行精益管理；优化采购流程降低采购成本</w:t>
      </w:r>
    </w:p>
    <w:p>
      <w:r>
        <w:rPr>
          <w:rFonts w:ascii="微软雅黑" w:hAnsi="微软雅黑" w:eastAsia="微软雅黑"/>
          <w:b/>
          <w:sz w:val="20"/>
        </w:rPr>
        <w:t xml:space="preserve">  ■ 盈利能力提升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分析产品/服务利润率，淘汰低毛利业务；优化定价策略；开发高附加值产品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财务数字化建设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实施财务ERP系统；建立财务预警指标体系；实现业财一体化</w:t>
      </w:r>
    </w:p>
    <w:p>
      <w:r>
        <w:rPr>
          <w:rFonts w:ascii="微软雅黑" w:hAnsi="微软雅黑" w:eastAsia="微软雅黑"/>
          <w:b/>
          <w:sz w:val="20"/>
        </w:rPr>
        <w:t xml:space="preserve">  ■ 多元化融资渠道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拓展银行授信、债券发行、股权融资等多种渠道；优化融资结构</w:t>
      </w:r>
    </w:p>
    <w:p>
      <w:r>
        <w:rPr>
          <w:rFonts w:ascii="微软雅黑" w:hAnsi="微软雅黑" w:eastAsia="微软雅黑"/>
          <w:b/>
          <w:sz w:val="20"/>
        </w:rPr>
        <w:t xml:space="preserve">  ■ 全面预算管理体系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建立全面预算管理制度；实施滚动预测；加强预算执行监控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速动比率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净利润率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营收增长率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经营活动现金流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为正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负债与偿债风险解决方案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当前评分：0.00/4.00  |  风险等级：未评估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针对负债规模、偿债能力、担保风险等方面提出改善方案。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债务盘点与分类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全面梳理所有债务，按利率、期限、担保方式分类；识别高成本债务和即将到期债务</w:t>
      </w:r>
    </w:p>
    <w:p>
      <w:r>
        <w:rPr>
          <w:rFonts w:ascii="微软雅黑" w:hAnsi="微软雅黑" w:eastAsia="微软雅黑"/>
          <w:b/>
          <w:sz w:val="20"/>
        </w:rPr>
        <w:t xml:space="preserve">  ■ 偿债计划制定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制定详细的偿债时间表；优先偿还高息债务；与债权人协商展期或重组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负债规模控制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设定负债率上限红线；控制新增负债；通过增资扩股降低杠杆</w:t>
      </w:r>
    </w:p>
    <w:p>
      <w:r>
        <w:rPr>
          <w:rFonts w:ascii="微软雅黑" w:hAnsi="微软雅黑" w:eastAsia="微软雅黑"/>
          <w:b/>
          <w:sz w:val="20"/>
        </w:rPr>
        <w:t xml:space="preserve">  ■ 担保风险排查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全面排查对外担保情况；要求被担保方提供反担保措施；逐步退出非必要担保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债务结构优化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增加长期负债比例，降低短期偿债压力；利用低息债务置换高息债务</w:t>
      </w:r>
    </w:p>
    <w:p>
      <w:r>
        <w:rPr>
          <w:rFonts w:ascii="微软雅黑" w:hAnsi="微软雅黑" w:eastAsia="微软雅黑"/>
          <w:b/>
          <w:sz w:val="20"/>
        </w:rPr>
        <w:t xml:space="preserve">  ■ 建立偿债基金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设立专项偿债基金账户；按比例定期存入资金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资产负债率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DSR（年还款/年收入）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对外担保/净资产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≤30%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行业与市场风险解决方案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当前评分：1.50/4.00  |  风险等级：中等风险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针对行业竞争、市场地位、政策变化等方面提出应对策略。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市场情报体系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建立行业动态监控机制；定期分析竞争对手策略变化；关注政策法规更新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差异化竞争策略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明确核心竞争优势；聚焦细分市场；打造差异化产品/服务体系</w:t>
      </w:r>
    </w:p>
    <w:p>
      <w:r>
        <w:rPr>
          <w:rFonts w:ascii="微软雅黑" w:hAnsi="微软雅黑" w:eastAsia="微软雅黑"/>
          <w:b/>
          <w:sz w:val="20"/>
        </w:rPr>
        <w:t xml:space="preserve">  ■ 客户结构优化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拓展新客户群体；降低单一客户依赖度；提升客户粘性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新市场拓展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评估新地域/新行业进入机会；制定市场进入策略；建立本地化团队</w:t>
      </w:r>
    </w:p>
    <w:p>
      <w:r>
        <w:rPr>
          <w:rFonts w:ascii="微软雅黑" w:hAnsi="微软雅黑" w:eastAsia="微软雅黑"/>
          <w:b/>
          <w:sz w:val="20"/>
        </w:rPr>
        <w:t xml:space="preserve">  ■ 品牌建设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制定品牌战略；加大品牌投入；提升行业影响力</w:t>
      </w:r>
    </w:p>
    <w:p>
      <w:r>
        <w:rPr>
          <w:rFonts w:ascii="微软雅黑" w:hAnsi="微软雅黑" w:eastAsia="微软雅黑"/>
          <w:b/>
          <w:sz w:val="20"/>
        </w:rPr>
        <w:t xml:space="preserve">  ■ 政策应对机制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建立政策研究团队；参与行业标准制定；提前布局政策变化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市场占有率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逐年提升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客户数量增长率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新业务收入占比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法律与合规风险解决方案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针对诉讼风险、合规管理、知识产权等方面提出整改方案。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诉讼案件处理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聘请专业律师团队评估现有案件；制定应诉策略；积极寻求庭外和解</w:t>
      </w:r>
    </w:p>
    <w:p>
      <w:r>
        <w:rPr>
          <w:rFonts w:ascii="微软雅黑" w:hAnsi="微软雅黑" w:eastAsia="微软雅黑"/>
          <w:b/>
          <w:sz w:val="20"/>
        </w:rPr>
        <w:t xml:space="preserve">  ■ 合规体检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全面合规审查，覆盖经营许可、环保、劳动、数据安全等领域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合规体系建设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建立合规管理制度；设立合规部门或岗位；制定合规手册</w:t>
      </w:r>
    </w:p>
    <w:p>
      <w:r>
        <w:rPr>
          <w:rFonts w:ascii="微软雅黑" w:hAnsi="微软雅黑" w:eastAsia="微软雅黑"/>
          <w:b/>
          <w:sz w:val="20"/>
        </w:rPr>
        <w:t xml:space="preserve">  ■ 知识产权保护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清理现有知识产权；及时申请专利/商标；建立知识产权保护机制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合同管理规范化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建立合同标准化模板；实施合同全生命周期管理；加强合同审核</w:t>
      </w:r>
    </w:p>
    <w:p>
      <w:r>
        <w:rPr>
          <w:rFonts w:ascii="微软雅黑" w:hAnsi="微软雅黑" w:eastAsia="微软雅黑"/>
          <w:b/>
          <w:sz w:val="20"/>
        </w:rPr>
        <w:t xml:space="preserve">  ■ 法律风险预警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建立法律风险数据库；实施法律风险定期评估；建立法律风险预警机制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诉讼案件数量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合规培训覆盖率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合同审核率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税务风险解决方案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当前评分：3.00/4.00  |  风险等级：高风险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针对税务稽查、转让定价、发票管理等方面提出合规方案。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税务稽查应对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配合税务机关稽查；聘请税务顾问评估风险；准备完整资料应对检查</w:t>
      </w:r>
    </w:p>
    <w:p>
      <w:r>
        <w:rPr>
          <w:rFonts w:ascii="微软雅黑" w:hAnsi="微软雅黑" w:eastAsia="微软雅黑"/>
          <w:b/>
          <w:sz w:val="20"/>
        </w:rPr>
        <w:t xml:space="preserve">  ■ 发票管理整改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全面检查发票管理流程；整改不规范行为；建立发票管理制度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转让定价文档准备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准备完整的转让定价同期资料；评估关联交易定价合理性</w:t>
      </w:r>
    </w:p>
    <w:p>
      <w:r>
        <w:rPr>
          <w:rFonts w:ascii="微软雅黑" w:hAnsi="微软雅黑" w:eastAsia="微软雅黑"/>
          <w:b/>
          <w:sz w:val="20"/>
        </w:rPr>
        <w:t xml:space="preserve">  ■ 税务筹划合规审查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审查现有税务筹划方案合规性；调整存在争议的筹划方案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税务管理数字化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实施税务管理系统；实现发票电子化；建立税务数据仓库</w:t>
      </w:r>
    </w:p>
    <w:p>
      <w:r>
        <w:rPr>
          <w:rFonts w:ascii="微软雅黑" w:hAnsi="微软雅黑" w:eastAsia="微软雅黑"/>
          <w:b/>
          <w:sz w:val="20"/>
        </w:rPr>
        <w:t xml:space="preserve">  ■ 跨境税务管理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了解跨境税收协定；合理利用税收优惠；防范跨境税务风险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税务稽查问题数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发票合规率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税务申报及时率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公司治理风险解决方案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针对治理结构、内控制度、审计问题等方面提出改进方案。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内控制度建设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评估现有内控缺陷；优先建立财务、采购、销售等核心流程内控</w:t>
      </w:r>
    </w:p>
    <w:p>
      <w:r>
        <w:rPr>
          <w:rFonts w:ascii="微软雅黑" w:hAnsi="微软雅黑" w:eastAsia="微软雅黑"/>
          <w:b/>
          <w:sz w:val="20"/>
        </w:rPr>
        <w:t xml:space="preserve">  ■ 审计问题整改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针对审计意见制定整改计划；逐项落实整改措施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治理结构优化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完善董事会/监事会构成；引入独立董事；明确三会一层权责</w:t>
      </w:r>
    </w:p>
    <w:p>
      <w:r>
        <w:rPr>
          <w:rFonts w:ascii="微软雅黑" w:hAnsi="微软雅黑" w:eastAsia="微软雅黑"/>
          <w:b/>
          <w:sz w:val="20"/>
        </w:rPr>
        <w:t xml:space="preserve">  ■ 关联交易规范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建立关联交易管理制度；重大关联交易需经董事会/股东会审批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全面内控体系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建立COSO内控框架；实施内控自评；聘请外部内控审计</w:t>
      </w:r>
    </w:p>
    <w:p>
      <w:r>
        <w:rPr>
          <w:rFonts w:ascii="微软雅黑" w:hAnsi="微软雅黑" w:eastAsia="微软雅黑"/>
          <w:b/>
          <w:sz w:val="20"/>
        </w:rPr>
        <w:t xml:space="preserve">  ■ 信息披露透明化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建立信息披露制度；定期向利益相关方披露经营情况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内控缺陷数量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董事会召开次数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≥4次/年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审计意见类型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标准无保留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供应链风险解决方案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针对供应商/客户集中度、进口依赖、供应链稳定性等问题提出方案。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供应链评估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全面评估供应链各环节风险；识别关键瓶颈和单点故障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供应商多元化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开发备选供应商；降低前5大供应商占比至60%以下</w:t>
      </w:r>
    </w:p>
    <w:p>
      <w:r>
        <w:rPr>
          <w:rFonts w:ascii="微软雅黑" w:hAnsi="微软雅黑" w:eastAsia="微软雅黑"/>
          <w:b/>
          <w:sz w:val="20"/>
        </w:rPr>
        <w:t xml:space="preserve">  ■ 客户多元化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拓展新客户；降低前5大客户占比至60%以下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供应链数字化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实施供应链管理系统；建立供应商绩效评价体系；实现供应链可视化</w:t>
      </w:r>
    </w:p>
    <w:p>
      <w:r>
        <w:rPr>
          <w:rFonts w:ascii="微软雅黑" w:hAnsi="微软雅黑" w:eastAsia="微软雅黑"/>
          <w:b/>
          <w:sz w:val="20"/>
        </w:rPr>
        <w:t xml:space="preserve">  ■ 战略库存管理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建立安全库存机制；关键物料保持2-3个月库存</w:t>
      </w:r>
    </w:p>
    <w:p>
      <w:r>
        <w:rPr>
          <w:rFonts w:ascii="微软雅黑" w:hAnsi="微软雅黑" w:eastAsia="微软雅黑"/>
          <w:b/>
          <w:sz w:val="20"/>
        </w:rPr>
        <w:t xml:space="preserve">  ■ 本地化替代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评估进口物料本地化替代方案；降低进口依赖度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前5大供应商占比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前5大客户占比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订单交付及时率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技术与信息安全风险解决方案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针对研发投入、技术依赖、数据安全等方面提出改进方案。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数据安全评估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全面数据安全审计；识别数据泄露风险点；立即修补安全漏洞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研发投入提升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制定研发投入计划；确保研发占比不低于行业平均水平</w:t>
      </w:r>
    </w:p>
    <w:p>
      <w:r>
        <w:rPr>
          <w:rFonts w:ascii="微软雅黑" w:hAnsi="微软雅黑" w:eastAsia="微软雅黑"/>
          <w:b/>
          <w:sz w:val="20"/>
        </w:rPr>
        <w:t xml:space="preserve">  ■ 知识产权布局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制定知识产权战略；加大专利申请力度；建立技术壁垒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核心技术自主化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评估核心技术依赖风险；制定自主替代路线图；加大自主研发</w:t>
      </w:r>
    </w:p>
    <w:p>
      <w:r>
        <w:rPr>
          <w:rFonts w:ascii="微软雅黑" w:hAnsi="微软雅黑" w:eastAsia="微软雅黑"/>
          <w:b/>
          <w:sz w:val="20"/>
        </w:rPr>
        <w:t xml:space="preserve">  ■ 信息安全体系建设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建立ISMS信息安全管理体系；通过ISO27001认证</w:t>
      </w:r>
    </w:p>
    <w:p>
      <w:r>
        <w:rPr>
          <w:rFonts w:ascii="微软雅黑" w:hAnsi="微软雅黑" w:eastAsia="微软雅黑"/>
          <w:b/>
          <w:sz w:val="20"/>
        </w:rPr>
        <w:t xml:space="preserve">  ■ 数字化转型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制定数字化转型路线图；推进智能制造/智慧管理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研发投入占比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≥3%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≥20%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信息安全事件数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人力资源风险解决方案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针对人才流失、关键人员依赖、劳动争议等方面提出解决方案。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关键人才保留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识别关键岗位人才；制定留人计划；提供有竞争力的薪酬和股权激励</w:t>
      </w:r>
    </w:p>
    <w:p>
      <w:r>
        <w:rPr>
          <w:rFonts w:ascii="微软雅黑" w:hAnsi="微软雅黑" w:eastAsia="微软雅黑"/>
          <w:b/>
          <w:sz w:val="20"/>
        </w:rPr>
        <w:t xml:space="preserve">  ■ 劳动争议处理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积极处理现有劳动争议；完善劳动合同；规范用工管理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薪酬体系优化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进行薪酬市场调研；优化薪酬结构；建立绩效导向的激励机制</w:t>
      </w:r>
    </w:p>
    <w:p>
      <w:r>
        <w:rPr>
          <w:rFonts w:ascii="微软雅黑" w:hAnsi="微软雅黑" w:eastAsia="微软雅黑"/>
          <w:b/>
          <w:sz w:val="20"/>
        </w:rPr>
        <w:t xml:space="preserve">  ■ 社保合规整改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全面检查社保缴纳情况；补缴欠款；确保全员合规参保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人才梯队建设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建立人才储备机制；实施导师制；制定员工职业发展通道</w:t>
      </w:r>
    </w:p>
    <w:p>
      <w:r>
        <w:rPr>
          <w:rFonts w:ascii="微软雅黑" w:hAnsi="微软雅黑" w:eastAsia="微软雅黑"/>
          <w:b/>
          <w:sz w:val="20"/>
        </w:rPr>
        <w:t xml:space="preserve">  ■ 企业文化建设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明确企业价值观；加强内部沟通；提升员工归属感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员工流失率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≤15%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关键岗位空缺率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培训覆盖率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ESG与可持续发展风险解决方案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针对环保合规、安全生产、社会责任等方面提出改善方案。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环保整改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针对环保处罚问题立即整改；建立环保合规管理制度</w:t>
      </w:r>
    </w:p>
    <w:p>
      <w:r>
        <w:rPr>
          <w:rFonts w:ascii="微软雅黑" w:hAnsi="微软雅黑" w:eastAsia="微软雅黑"/>
          <w:b/>
          <w:sz w:val="20"/>
        </w:rPr>
        <w:t xml:space="preserve">  ■ 安全生产检查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全面安全检查；整改安全隐患；完善安全生产制度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ESG体系建设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建立ESG管理框架；设立ESG委员会；制定ESG战略目标</w:t>
      </w:r>
    </w:p>
    <w:p>
      <w:r>
        <w:rPr>
          <w:rFonts w:ascii="微软雅黑" w:hAnsi="微软雅黑" w:eastAsia="微软雅黑"/>
          <w:b/>
          <w:sz w:val="20"/>
        </w:rPr>
        <w:t xml:space="preserve">  ■ 碳排放管理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核算企业碳排放；制定碳减排计划；探索碳交易机会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绿色运营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推行绿色办公；优化能源结构；发展循环经济</w:t>
      </w:r>
    </w:p>
    <w:p>
      <w:r>
        <w:rPr>
          <w:rFonts w:ascii="微软雅黑" w:hAnsi="微软雅黑" w:eastAsia="微软雅黑"/>
          <w:b/>
          <w:sz w:val="20"/>
        </w:rPr>
        <w:t xml:space="preserve">  ■ 社会责任报告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编制年度ESG/社会责任报告；提升企业社会形象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环保处罚次数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安全事故率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碳排放强度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color w:val="006400"/>
        </w:rPr>
        <w:t>四、KPI监控指标汇总</w:t>
      </w:r>
    </w:p>
    <w:p>
      <w:r>
        <w:rPr>
          <w:rFonts w:ascii="微软雅黑" w:hAnsi="微软雅黑" w:eastAsia="微软雅黑"/>
          <w:b w:val="0"/>
          <w:sz w:val="22"/>
        </w:rPr>
        <w:t>以下汇总所有维度的KPI监控指标，建议建立定期跟踪机制：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所属维度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速动比率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净利润率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营收增长率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经营活动现金流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为正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资产负债率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DSR（年还款/年收入）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对外担保/净资产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≤30%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市场占有率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逐年提升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客户数量增长率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新业务收入占比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诉讼案件数量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合规培训覆盖率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合同审核率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税务稽查问题数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发票合规率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税务申报及时率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内控缺陷数量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董事会召开次数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≥4次/年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审计意见类型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标准无保留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前5大供应商占比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前5大客户占比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订单交付及时率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研发投入占比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≥3%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≥20%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信息安全事件数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员工流失率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≤15%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关键岗位空缺率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培训覆盖率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环保处罚次数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安全事故率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碳排放强度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400"/>
        </w:rPr>
        <w:t>五、实施路线图</w:t>
      </w:r>
    </w:p>
    <w:p>
      <w:r>
        <w:rPr>
          <w:rFonts w:ascii="微软雅黑" w:hAnsi="微软雅黑" w:eastAsia="微软雅黑"/>
          <w:b w:val="0"/>
          <w:sz w:val="22"/>
        </w:rPr>
        <w:t>建议按以下三个阶段推进整改工作：</w:t>
      </w:r>
    </w:p>
    <w:p>
      <w:r>
        <w:rPr>
          <w:rFonts w:ascii="微软雅黑" w:hAnsi="微软雅黑" w:eastAsia="微软雅黑"/>
          <w:b/>
          <w:color w:val="1F4E79"/>
          <w:sz w:val="24"/>
        </w:rPr>
        <w:t>▎第一阶段：紧急处置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(第1个月)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启动所有P0优先级整改事项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成立风险管理委员会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建立风险监控日报/周报机制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完成现金流紧急管理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启动重大诉讼/稽查应对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完成关键人才保留方案</w:t>
      </w:r>
    </w:p>
    <w:p/>
    <w:p>
      <w:r>
        <w:rPr>
          <w:rFonts w:ascii="微软雅黑" w:hAnsi="微软雅黑" w:eastAsia="微软雅黑"/>
          <w:b/>
          <w:color w:val="1F4E79"/>
          <w:sz w:val="24"/>
        </w:rPr>
        <w:t>▎第二阶段：体系搭建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(第2-3个月)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完成所有P1优先级整改事项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建立各维度管理制度和流程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启动合规体系、内控体系建设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完成供应商/客户多元化方案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启动数字化转型项目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建立KPI监控体系</w:t>
      </w:r>
    </w:p>
    <w:p/>
    <w:p>
      <w:r>
        <w:rPr>
          <w:rFonts w:ascii="微软雅黑" w:hAnsi="微软雅黑" w:eastAsia="微软雅黑"/>
          <w:b/>
          <w:color w:val="1F4E79"/>
          <w:sz w:val="24"/>
        </w:rPr>
        <w:t>▎第三阶段：持续优化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(第4-12个月)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完成P2/P3优先级整改事项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全面运行新的管理体系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定期进行风险复评（季度）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持续优化和改进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编制年度风险管理报告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形成风险管理长效机制</w:t>
      </w:r>
    </w:p>
    <w:p/>
    <w:p>
      <w:r>
        <w:rPr>
          <w:rFonts w:ascii="微软雅黑" w:hAnsi="微软雅黑" w:eastAsia="微软雅黑"/>
          <w:b w:val="0"/>
          <w:sz w:val="22"/>
        </w:rPr>
        <w:t>风险管理是一个持续改进的过程，建议每季度进行一次风险复评，每年进行一次全面风险评估，</w:t>
      </w:r>
      <w:r>
        <w:rPr>
          <w:rFonts w:ascii="微软雅黑" w:hAnsi="微软雅黑" w:eastAsia="微软雅黑"/>
          <w:b w:val="0"/>
          <w:sz w:val="22"/>
        </w:rPr>
        <w:t>确保风险管理的持续有效性。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