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企业风险评估报告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华芯精密制造有限公司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本报告基于企业风险管理信息搜集表自动生成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仅供内部管理参考，请勿外传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一、评估概要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二、综合风险评分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三、各维度风险分析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 财务风险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3.2 负债与偿债风险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3.3 行业与市场风险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3.4 法律与合规风险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3.5 税务风险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3.6 公司治理风险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3.7 供应链风险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3.8 技术与信息安全风险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3.9 人力资源风险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3.10 ESG与可持续发展风险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四、风险矩阵与优先级排序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五、核心风险总结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六、附录：原始数据摘要</w:t>
      </w:r>
    </w:p>
    <w:p>
      <w:r>
        <w:br w:type="page"/>
      </w:r>
    </w:p>
    <w:p>
      <w:pPr>
        <w:pStyle w:val="Heading1"/>
      </w:pPr>
      <w:r>
        <w:rPr>
          <w:color w:val="1F4E79"/>
        </w:rPr>
        <w:t>一、评估概要</w:t>
      </w:r>
    </w:p>
    <w:p>
      <w:r>
        <w:rPr>
          <w:rFonts w:ascii="微软雅黑" w:hAnsi="微软雅黑" w:eastAsia="微软雅黑"/>
          <w:b w:val="0"/>
          <w:sz w:val="22"/>
        </w:rPr>
        <w:t>本报告对</w:t>
      </w:r>
      <w:r>
        <w:rPr>
          <w:rFonts w:ascii="微软雅黑" w:hAnsi="微软雅黑" w:eastAsia="微软雅黑"/>
          <w:b/>
          <w:sz w:val="22"/>
        </w:rPr>
        <w:t>华芯精密制造有限公司</w:t>
      </w:r>
      <w:r>
        <w:rPr>
          <w:rFonts w:ascii="微软雅黑" w:hAnsi="微软雅黑" w:eastAsia="微软雅黑"/>
          <w:b w:val="0"/>
          <w:sz w:val="22"/>
        </w:rPr>
        <w:t>的风险状况进行全面评估。评估基于企业风险管理信息搜集表所填数据，从财务、负债、行业市场、法律合规、税务、公司治理、供应链、技术信息、人力资源、ESG等10个维度进行系统性分析。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企业名称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华芯精密制造有限公司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综合风险评分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2.44 / 4.00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综合风险等级</w:t>
            </w:r>
          </w:p>
        </w:tc>
        <w:tc>
          <w:tcPr>
            <w:tcW w:type="dxa" w:w="6803"/>
            <w:shd w:fill="FFD93D"/>
          </w:tcPr>
          <w:p>
            <w:r>
              <w:rPr>
                <w:rFonts w:ascii="微软雅黑" w:hAnsi="微软雅黑" w:eastAsia="微软雅黑"/>
                <w:b/>
                <w:color w:val="B48200"/>
                <w:sz w:val="24"/>
              </w:rPr>
              <w:t>中等风险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评估日期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二、综合风险评分</w:t>
      </w:r>
    </w:p>
    <w:p>
      <w:r>
        <w:rPr>
          <w:rFonts w:ascii="微软雅黑" w:hAnsi="微软雅黑" w:eastAsia="微软雅黑"/>
          <w:b w:val="0"/>
          <w:sz w:val="24"/>
        </w:rPr>
        <w:t>综合风险评分：</w:t>
      </w:r>
      <w:r>
        <w:rPr>
          <w:rFonts w:ascii="微软雅黑" w:hAnsi="微软雅黑" w:eastAsia="微软雅黑"/>
          <w:b/>
          <w:color w:val="B48200"/>
          <w:sz w:val="28"/>
        </w:rPr>
        <w:t>2.44/4.00</w:t>
      </w:r>
      <w:r>
        <w:rPr>
          <w:rFonts w:ascii="微软雅黑" w:hAnsi="微软雅黑" w:eastAsia="微软雅黑"/>
          <w:b w:val="0"/>
          <w:sz w:val="24"/>
        </w:rPr>
        <w:t xml:space="preserve">  |  等级：</w:t>
      </w:r>
      <w:r>
        <w:rPr>
          <w:rFonts w:ascii="微软雅黑" w:hAnsi="微软雅黑" w:eastAsia="微软雅黑"/>
          <w:b/>
          <w:color w:val="B48200"/>
          <w:sz w:val="28"/>
        </w:rPr>
        <w:t>中等风险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关键风险数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3.10</w:t>
            </w:r>
          </w:p>
        </w:tc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2.90</w:t>
            </w:r>
          </w:p>
        </w:tc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2.80</w:t>
            </w:r>
          </w:p>
        </w:tc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2.30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2.20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1.80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1.30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628"/>
            <w:gridSpan w:val="2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综合评分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2.44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中等风险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三、各维度风险分析</w:t>
      </w:r>
    </w:p>
    <w:p>
      <w:pPr>
        <w:pStyle w:val="Heading2"/>
      </w:pPr>
      <w:r>
        <w:rPr>
          <w:color w:val="2E75B6"/>
        </w:rPr>
        <w:t>3.1  财务风险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3.50/4.00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权重：20%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资产负债率75.0%，偏高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流动比率0.95，低于1.0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净利率3.0%，偏低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自由现金流为负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利息保障倍数1.8，偏弱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短期借款占比65.0%，短期压力大</w:t>
      </w:r>
    </w:p>
    <w:p/>
    <w:p>
      <w:pPr>
        <w:pStyle w:val="Heading2"/>
      </w:pPr>
      <w:r>
        <w:rPr>
          <w:color w:val="2E75B6"/>
        </w:rPr>
        <w:t>3.3  行业与市场风险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C80000"/>
          <w:sz w:val="24"/>
        </w:rPr>
        <w:t>2.90/4.00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C80000"/>
          <w:sz w:val="24"/>
        </w:rPr>
        <w:t>高风险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行业监管政策趋严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产业政策支持力度：有限支持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行业处于成熟期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行业利润率呈下降趋势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监管趋严风险</w:t>
      </w:r>
    </w:p>
    <w:p/>
    <w:p>
      <w:pPr>
        <w:pStyle w:val="Heading2"/>
      </w:pPr>
      <w:r>
        <w:rPr>
          <w:color w:val="2E75B6"/>
        </w:rPr>
        <w:t>3.4  法律与合规风险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B48200"/>
          <w:sz w:val="24"/>
        </w:rPr>
        <w:t>2.20/4.00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B48200"/>
          <w:sz w:val="24"/>
        </w:rPr>
        <w:t>中等风险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存在2.0起在审案件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近三年败诉1.0起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存在行政处罚记录</w:t>
      </w:r>
    </w:p>
    <w:p/>
    <w:p>
      <w:pPr>
        <w:pStyle w:val="Heading2"/>
      </w:pPr>
      <w:r>
        <w:rPr>
          <w:color w:val="2E75B6"/>
        </w:rPr>
        <w:t>3.5  税务风险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B48200"/>
          <w:sz w:val="24"/>
        </w:rPr>
        <w:t>1.80/4.00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B48200"/>
          <w:sz w:val="24"/>
        </w:rPr>
        <w:t>中等风险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税务稽查存在问题（已整改）</w:t>
      </w:r>
    </w:p>
    <w:p/>
    <w:p>
      <w:pPr>
        <w:pStyle w:val="Heading2"/>
      </w:pPr>
      <w:r>
        <w:rPr>
          <w:color w:val="2E75B6"/>
        </w:rPr>
        <w:t>3.6  公司治理风险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pPr>
        <w:pStyle w:val="Heading2"/>
      </w:pPr>
      <w:r>
        <w:rPr>
          <w:color w:val="2E75B6"/>
        </w:rPr>
        <w:t>3.7  供应链风险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C80000"/>
          <w:sz w:val="24"/>
        </w:rPr>
        <w:t>2.80/4.00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C80000"/>
          <w:sz w:val="24"/>
        </w:rPr>
        <w:t>高风险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核心供应商仅3.0家，集中度高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单一来源采购占比35.0%，依赖度高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进口依赖度40.0%，较高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供应商集中风险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单一来源依赖</w:t>
      </w:r>
    </w:p>
    <w:p/>
    <w:p>
      <w:pPr>
        <w:pStyle w:val="Heading2"/>
      </w:pPr>
      <w:r>
        <w:rPr>
          <w:color w:val="2E75B6"/>
        </w:rPr>
        <w:t>3.8  技术与信息安全风险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C80000"/>
          <w:sz w:val="24"/>
        </w:rPr>
        <w:t>3.10/4.00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C80000"/>
          <w:sz w:val="24"/>
        </w:rPr>
        <w:t>高风险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研发投入占比1.5%，偏低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累计专利仅2.0项，技术壁垒弱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核心技术部分依赖外部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专利不足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核心技术依赖</w:t>
      </w:r>
    </w:p>
    <w:p/>
    <w:p>
      <w:pPr>
        <w:pStyle w:val="Heading2"/>
      </w:pPr>
      <w:r>
        <w:rPr>
          <w:color w:val="2E75B6"/>
        </w:rPr>
        <w:t>3.9  人力资源风险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B48200"/>
          <w:sz w:val="24"/>
        </w:rPr>
        <w:t>2.30/4.00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B48200"/>
          <w:sz w:val="24"/>
        </w:rPr>
        <w:t>中等风险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年离职率28.0%，偏高</w:t>
      </w:r>
    </w:p>
    <w:p/>
    <w:p>
      <w:pPr>
        <w:pStyle w:val="Heading2"/>
      </w:pPr>
      <w:r>
        <w:rPr>
          <w:color w:val="2E75B6"/>
        </w:rPr>
        <w:t>3.10  ESG与可持续发展风险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四、风险矩阵与优先级排序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以下按风险评分从高到低排序，高评分维度应优先处理：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建议行动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优化资本结构，改善流动性，加强现金流管理</w:t>
            </w:r>
          </w:p>
        </w:tc>
      </w:tr>
      <w:tr>
        <w:tc>
          <w:tcPr>
            <w:tcW w:type="dxa" w:w="2268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3.10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加大研发投入，加强数据安全，建立技术壁垒</w:t>
            </w:r>
          </w:p>
        </w:tc>
      </w:tr>
      <w:tr>
        <w:tc>
          <w:tcPr>
            <w:tcW w:type="dxa" w:w="2268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2.90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差异化竞争，拓展新市场，提升市场份额</w:t>
            </w:r>
          </w:p>
        </w:tc>
      </w:tr>
      <w:tr>
        <w:tc>
          <w:tcPr>
            <w:tcW w:type="dxa" w:w="2268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2.80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拓展供应商/客户，降低集中度，建立备选方案</w:t>
            </w:r>
          </w:p>
        </w:tc>
      </w:tr>
      <w:tr>
        <w:tc>
          <w:tcPr>
            <w:tcW w:type="dxa" w:w="2268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优化薪酬激励，降低流失率，完善社保合规</w:t>
            </w:r>
          </w:p>
        </w:tc>
      </w:tr>
      <w:tr>
        <w:tc>
          <w:tcPr>
            <w:tcW w:type="dxa" w:w="2268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完善合规体系，处理现存诉讼，加强法务审核</w:t>
            </w:r>
          </w:p>
        </w:tc>
      </w:tr>
      <w:tr>
        <w:tc>
          <w:tcPr>
            <w:tcW w:type="dxa" w:w="2268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1.80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规范税务管理，整改稽查问题，合规筹划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1.30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加强环保合规，完善安全管理，履行社会责任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健全治理结构，完善内控，规范关联交易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五、核心风险总结</w:t>
      </w:r>
    </w:p>
    <w:p>
      <w:r>
        <w:rPr>
          <w:rFonts w:ascii="微软雅黑" w:hAnsi="微软雅黑" w:eastAsia="微软雅黑"/>
          <w:b/>
          <w:sz w:val="22"/>
        </w:rPr>
        <w:t>共识别 5 项关键风险点：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所属维度</w:t>
            </w:r>
          </w:p>
        </w:tc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关键风险点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专利不足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核心技术依赖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监管趋严风险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供应商集中风险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单一来源依赖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六、附录：原始数据摘要</w:t>
      </w:r>
    </w:p>
    <w:p>
      <w:r>
        <w:rPr>
          <w:rFonts w:ascii="微软雅黑" w:hAnsi="微软雅黑" w:eastAsia="微软雅黑"/>
          <w:b w:val="0"/>
          <w:sz w:val="22"/>
        </w:rPr>
        <w:t>以下为各Sheet中提取的关键数据字段摘要：</w:t>
      </w:r>
    </w:p>
    <w:p/>
    <w:p>
      <w:pPr>
        <w:pStyle w:val="Heading3"/>
      </w:pPr>
      <w:r>
        <w:rPr>
          <w:color w:val="646464"/>
        </w:rPr>
        <w:t xml:space="preserve">  企业基本信息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企业名称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华芯精密制造有限公司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统一社会信用代码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91440101MA5XXXXXX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成立日期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2011-03-15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注册资本(万元)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企业类型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有限责任公司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所属行业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精密电子元器件研发制造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员工总数(人)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法定代表人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张明华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联系人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李芳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联系电话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13800138000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年营业额(万元)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资产总额(万元)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是否上市公司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财务风险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利息保障倍数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短期借款占比(%)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有息负债率(%)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毛利率(%)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净资产收益率ROE(%)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总资产报酬率ROA(%)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近三年是否连续亏损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经营性现金流净额(万元)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自由现金流(万元)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-150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现金流是否覆盖利息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勉强覆盖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银行授信额度(万元)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已使用授信额度(万元)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外部信用评级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AA-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是否存在债务违约记录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法律合规风险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在审案件数量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在审案件标的额(万元)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近三年败诉案件数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败诉金额累计(万元)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合同管理制度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重大合同履行异常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商标数量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知识产权纠纷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反商业贿赂制度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数据合规措施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行业监管检查结果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基本合格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行政处罚次数(近三年)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供应链风险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供应商总数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核心供应商数量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单一来源采购占比(%)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供应商认证体系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供应商更换周期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较长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主要运输方式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公路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物流成本占比(%)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物流中断风险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进口依赖度(%)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进口来源国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日本、德国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关税影响程度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出口业务占比(%)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出口目的地国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东南亚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汇率波动影响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原材料库存周转天数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成品库存周转天数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安全库存覆盖天数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呆滞库存占比(%)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研发人员数量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5.6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研发投入占营收比(%)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核心技术来源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部分自主研发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研发周期(月)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专利数量(累计)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软件著作权数量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技术秘密保护措施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核心技术流失风险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技术所处生命周期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成熟期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替代技术威胁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数字化转型阶段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起步阶段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信息系统安全等级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一般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数据备份机制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网络安全事件次数(近三年)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信息安全认证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人力资源风险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员工总数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本科以上学历占比(%)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平均工龄(年)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年离职率(%)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核心人才离职率(%)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招聘完成率(%)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劳动合同签订率(%)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社保缴纳合规性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基本合规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近三年劳资纠纷次数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工会建立情况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已建立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绩效考核覆盖率(%)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薪酬竞争力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股权激励/员工持股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生产运营风险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安全生产风险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法律合规风险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信用风险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整体风险等级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中等风险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主要风险领域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财务风险、供应链风险、技术风险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风险缓解措施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优化债务结构、拓展供应商、加大研发投入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行业政策风险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行业监管政策变化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趋严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政策变化影响评估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产业政策支持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有限支持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行业生命周期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成熟期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行业进入壁垒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替代品威胁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行业利润率趋势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下降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经济周期敏感性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利率变化影响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通货膨胀影响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税务风险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税务稽查记录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有问题_已整改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转让定价风险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增值税发票管理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基本规范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跨境税务风险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无跨境业务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筹划方案合规性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