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未命名企业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一、评估概要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二、综合风险评分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三、各维度风险分析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 财务风险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3.2 负债与偿债风险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3.3 行业与市场风险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3.4 法律与合规风险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3.5 税务风险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3.6 公司治理风险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3.7 供应链风险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3.8 技术与信息安全风险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3.9 人力资源风险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3.10 ESG与可持续发展风险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四、风险矩阵与优先级排序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五、核心风险总结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六、附录：原始数据摘要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一、评估概要</w:t>
      </w:r>
    </w:p>
    <w:p>
      <w:r>
        <w:rPr>
          <w:rFonts w:ascii="微软雅黑" w:hAnsi="微软雅黑" w:eastAsia="微软雅黑"/>
          <w:b w:val="0"/>
          <w:sz w:val="22"/>
        </w:rPr>
        <w:t>本报告对</w:t>
      </w:r>
      <w:r>
        <w:rPr>
          <w:rFonts w:ascii="微软雅黑" w:hAnsi="微软雅黑" w:eastAsia="微软雅黑"/>
          <w:b/>
          <w:sz w:val="22"/>
        </w:rPr>
        <w:t>未命名企业</w:t>
      </w:r>
      <w:r>
        <w:rPr>
          <w:rFonts w:ascii="微软雅黑" w:hAnsi="微软雅黑" w:eastAsia="微软雅黑"/>
          <w:b w:val="0"/>
          <w:sz w:val="22"/>
        </w:rPr>
        <w:t>的风险状况进行全面评估。评估基于企业风险管理信息搜集表所填数据，从财务、负债、行业市场、法律合规、税务、公司治理、供应链、技术信息、人力资源、ESG等10个维度进行系统性分析。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企业名称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未命名企业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综合风险评分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1.03 / 4.00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综合风险等级</w:t>
            </w:r>
          </w:p>
        </w:tc>
        <w:tc>
          <w:tcPr>
            <w:tcW w:type="dxa" w:w="6803"/>
            <w:shd w:fill="6BCB77"/>
          </w:tcPr>
          <w:p>
            <w:r>
              <w:rPr>
                <w:rFonts w:ascii="微软雅黑" w:hAnsi="微软雅黑" w:eastAsia="微软雅黑"/>
                <w:b/>
                <w:color w:val="006400"/>
                <w:sz w:val="24"/>
              </w:rPr>
              <w:t>低风险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评估日期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二、综合风险评分</w:t>
      </w:r>
    </w:p>
    <w:p>
      <w:r>
        <w:rPr>
          <w:rFonts w:ascii="微软雅黑" w:hAnsi="微软雅黑" w:eastAsia="微软雅黑"/>
          <w:b w:val="0"/>
          <w:sz w:val="24"/>
        </w:rPr>
        <w:t>综合风险评分：</w:t>
      </w:r>
      <w:r>
        <w:rPr>
          <w:rFonts w:ascii="微软雅黑" w:hAnsi="微软雅黑" w:eastAsia="微软雅黑"/>
          <w:b/>
          <w:color w:val="006400"/>
          <w:sz w:val="28"/>
        </w:rPr>
        <w:t>1.03/4.00</w:t>
      </w:r>
      <w:r>
        <w:rPr>
          <w:rFonts w:ascii="微软雅黑" w:hAnsi="微软雅黑" w:eastAsia="微软雅黑"/>
          <w:b w:val="0"/>
          <w:sz w:val="24"/>
        </w:rPr>
        <w:t xml:space="preserve">  |  等级：</w:t>
      </w:r>
      <w:r>
        <w:rPr>
          <w:rFonts w:ascii="微软雅黑" w:hAnsi="微软雅黑" w:eastAsia="微软雅黑"/>
          <w:b/>
          <w:color w:val="006400"/>
          <w:sz w:val="28"/>
        </w:rPr>
        <w:t>低风险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关键风险数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负债与偿债风险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628"/>
            <w:gridSpan w:val="2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综合评分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1.03</w:t>
            </w:r>
          </w:p>
        </w:tc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低风险</w:t>
            </w:r>
          </w:p>
        </w:tc>
        <w:tc>
          <w:tcPr>
            <w:tcW w:type="dxa" w:w="1814"/>
            <w:shd w:fill="D6E4F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三、各维度风险分析</w:t>
      </w:r>
    </w:p>
    <w:p>
      <w:pPr>
        <w:pStyle w:val="Heading2"/>
      </w:pPr>
      <w:r>
        <w:rPr>
          <w:color w:val="2E75B6"/>
        </w:rPr>
        <w:t>3.1  财务风险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权重：20%</w:t>
      </w:r>
    </w:p>
    <w:p/>
    <w:p>
      <w:pPr>
        <w:pStyle w:val="Heading2"/>
      </w:pPr>
      <w:r>
        <w:rPr>
          <w:color w:val="2E75B6"/>
        </w:rPr>
        <w:t>3.2  负债与偿债风险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权重：15%</w:t>
      </w:r>
    </w:p>
    <w:p/>
    <w:p>
      <w:pPr>
        <w:pStyle w:val="Heading2"/>
      </w:pPr>
      <w:r>
        <w:rPr>
          <w:color w:val="2E75B6"/>
        </w:rPr>
        <w:t>3.3  行业与市场风险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1.30/4.00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/>
    <w:p>
      <w:pPr>
        <w:pStyle w:val="Heading2"/>
      </w:pPr>
      <w:r>
        <w:rPr>
          <w:color w:val="2E75B6"/>
        </w:rPr>
        <w:t>3.4  法律与合规风险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权重：10%</w:t>
      </w:r>
    </w:p>
    <w:p/>
    <w:p>
      <w:pPr>
        <w:pStyle w:val="Heading2"/>
      </w:pPr>
      <w:r>
        <w:rPr>
          <w:color w:val="2E75B6"/>
        </w:rPr>
        <w:t>3.5  税务风险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3.6  公司治理风险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3.7  供应链风险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3.8  技术与信息安全风险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权重：8%</w:t>
      </w:r>
    </w:p>
    <w:p/>
    <w:p>
      <w:pPr>
        <w:pStyle w:val="Heading2"/>
      </w:pPr>
      <w:r>
        <w:rPr>
          <w:color w:val="2E75B6"/>
        </w:rPr>
        <w:t>3.9  人力资源风险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权重：6%</w:t>
      </w:r>
    </w:p>
    <w:p/>
    <w:p>
      <w:pPr>
        <w:pStyle w:val="Heading2"/>
      </w:pPr>
      <w:r>
        <w:rPr>
          <w:color w:val="2E75B6"/>
        </w:rPr>
        <w:t>3.10  ESG与可持续发展风险</w:t>
      </w:r>
    </w:p>
    <w:p>
      <w:r>
        <w:rPr>
          <w:rFonts w:ascii="微软雅黑" w:hAnsi="微软雅黑" w:eastAsia="微软雅黑"/>
          <w:b/>
          <w:sz w:val="22"/>
        </w:rPr>
        <w:t>评分：</w:t>
      </w:r>
      <w:r>
        <w:rPr>
          <w:rFonts w:ascii="微软雅黑" w:hAnsi="微软雅黑" w:eastAsia="微软雅黑"/>
          <w:b/>
          <w:color w:val="006400"/>
          <w:sz w:val="24"/>
        </w:rPr>
        <w:t>1.00/4.00</w:t>
      </w:r>
      <w:r>
        <w:rPr>
          <w:rFonts w:ascii="微软雅黑" w:hAnsi="微软雅黑" w:eastAsia="微软雅黑"/>
          <w:b/>
          <w:sz w:val="22"/>
        </w:rPr>
        <w:t xml:space="preserve">  风险等级：</w:t>
      </w:r>
      <w:r>
        <w:rPr>
          <w:rFonts w:ascii="微软雅黑" w:hAnsi="微软雅黑" w:eastAsia="微软雅黑"/>
          <w:b/>
          <w:color w:val="006400"/>
          <w:sz w:val="24"/>
        </w:rPr>
        <w:t>低风险</w:t>
      </w:r>
      <w:r>
        <w:rPr>
          <w:rFonts w:ascii="微软雅黑" w:hAnsi="微软雅黑" w:eastAsia="微软雅黑"/>
          <w:b w:val="0"/>
          <w:sz w:val="22"/>
        </w:rPr>
        <w:t xml:space="preserve">  权重：7%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四、风险矩阵与优先级排序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以下按风险评分从高到低排序，高评分维度应优先处理：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268"/>
            <w:shd w:fill="C55A11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建议行动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差异化竞争，拓展新市场，提升市场份额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优化资本结构，改善流动性，加强现金流管理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控制负债规模，优化债务结构，增加应急储备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完善合规体系，处理现存诉讼，加强法务审核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规范税务管理，整改稽查问题，合规筹划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健全治理结构，完善内控，规范关联交易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拓展供应商/客户，降低集中度，建立备选方案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加大研发投入，加强数据安全，建立技术壁垒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优化薪酬激励，降低流失率，完善社保合规</w:t>
            </w:r>
          </w:p>
        </w:tc>
      </w:tr>
      <w:tr>
        <w:tc>
          <w:tcPr>
            <w:tcW w:type="dxa" w:w="2268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加强环保合规，完善安全管理，履行社会责任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五、核心风险总结</w:t>
      </w:r>
    </w:p>
    <w:p>
      <w:r>
        <w:rPr>
          <w:rFonts w:ascii="微软雅黑" w:hAnsi="微软雅黑" w:eastAsia="微软雅黑"/>
          <w:b w:val="0"/>
          <w:sz w:val="22"/>
        </w:rPr>
        <w:t>未识别出关键风险点，整体风险可控。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六、附录：原始数据摘要</w:t>
      </w:r>
    </w:p>
    <w:p>
      <w:r>
        <w:rPr>
          <w:rFonts w:ascii="微软雅黑" w:hAnsi="微软雅黑" w:eastAsia="微软雅黑"/>
          <w:b w:val="0"/>
          <w:sz w:val="22"/>
        </w:rPr>
        <w:t>以下为各Sheet中提取的关键数据字段摘要：</w:t>
      </w:r>
    </w:p>
    <w:p/>
    <w:p>
      <w:pPr>
        <w:pStyle w:val="Heading3"/>
      </w:pPr>
      <w:r>
        <w:rPr>
          <w:color w:val="646464"/>
        </w:rPr>
        <w:t xml:space="preserve">  企业基本信息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华芯精密制造有限公司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华芯精密制造有限公司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数值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财务风险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0.55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人力资源风险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基本合规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基本合规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列出前3个主要风险领域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列出前3个主要风险领域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总体风险应对策略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总体风险应对策略</w:t>
            </w:r>
          </w:p>
        </w:tc>
      </w:tr>
    </w:tbl>
    <w:p/>
    <w:p>
      <w:pPr>
        <w:pStyle w:val="Heading3"/>
      </w:pPr>
      <w:r>
        <w:rPr>
          <w:color w:val="646464"/>
        </w:rPr>
        <w:t xml:space="preserve">  税务风险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shd w:fill="8080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有问题_已整改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有问题_已整改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基本规范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基本规范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无跨境业务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无跨境业务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