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A3A5C"/>
          <w:sz w:val="52"/>
        </w:rPr>
        <w:t>企业风险评估报告</w:t>
      </w:r>
    </w:p>
    <w:p/>
    <w:p>
      <w:pPr>
        <w:jc w:val="center"/>
      </w:pPr>
      <w:r>
        <w:rPr>
          <w:rFonts w:ascii="微软雅黑" w:hAnsi="微软雅黑" w:eastAsia="微软雅黑"/>
          <w:b/>
          <w:color w:val="2D6A9F"/>
          <w:sz w:val="36"/>
        </w:rPr>
        <w:t>未命名企业</w:t>
      </w:r>
    </w:p>
    <w:p/>
    <w:p/>
    <w:p/>
    <w:p/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2"/>
        </w:rPr>
        <w:t>报告日期：2026年07月08日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2"/>
        </w:rPr>
        <w:t>本报告基于企业风险管理信息搜集表自动生成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2"/>
        </w:rPr>
        <w:t>仅供内部管理参考，请勿外传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3A5C"/>
        </w:rPr>
        <w:t>一、评估概要</w:t>
      </w:r>
    </w:p>
    <w:p>
      <w:pPr>
        <w:spacing w:after="120" w:line="360" w:lineRule="exact"/>
      </w:pPr>
      <w:r>
        <w:rPr>
          <w:rFonts w:ascii="微软雅黑" w:hAnsi="微软雅黑" w:eastAsia="微软雅黑"/>
          <w:b w:val="0"/>
          <w:sz w:val="20"/>
        </w:rPr>
        <w:t>本报告对 未命名企业 的风险状况进行全面评估。评估基于企业风险管理信息搜集表所填数据，从财务、负债、行业市场、法律合规、税务、公司治理、供应链、技术信息、人力资源、ESG等17个维度进行系统性分析。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2D6A9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5669"/>
            <w:shd w:fill="2D6A9F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综合风险评分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 / 4.00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风险等级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低风险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评估维度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14 个维度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关键风险点</w:t>
            </w:r>
          </w:p>
        </w:tc>
        <w:tc>
          <w:tcPr>
            <w:tcW w:type="dxa" w:w="56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0 项待处理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3A5C"/>
        </w:rPr>
        <w:t>二、各维度风险评分</w:t>
      </w:r>
    </w:p>
    <w:p>
      <w:pPr>
        <w:spacing w:after="120" w:line="360" w:lineRule="exact"/>
      </w:pPr>
      <w:r>
        <w:rPr>
          <w:rFonts w:ascii="微软雅黑" w:hAnsi="微软雅黑" w:eastAsia="微软雅黑"/>
          <w:b w:val="0"/>
          <w:sz w:val="20"/>
        </w:rPr>
        <w:t>以下按风险评分从高到低排序：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fill="1A3A5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风险维度</w:t>
            </w:r>
          </w:p>
        </w:tc>
        <w:tc>
          <w:tcPr>
            <w:tcW w:type="dxa" w:w="1134"/>
            <w:shd w:fill="1A3A5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</w:t>
            </w:r>
          </w:p>
        </w:tc>
        <w:tc>
          <w:tcPr>
            <w:tcW w:type="dxa" w:w="1417"/>
            <w:shd w:fill="1A3A5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3969"/>
            <w:shd w:fill="1A3A5C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建议行动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财务风险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</w:t>
            </w:r>
          </w:p>
        </w:tc>
        <w:tc>
          <w:tcPr>
            <w:tcW w:type="dxa" w:w="1417"/>
            <w:shd w:fill="6BCB7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低风险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维持现状，定期复查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法律与合规风险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</w:t>
            </w:r>
          </w:p>
        </w:tc>
        <w:tc>
          <w:tcPr>
            <w:tcW w:type="dxa" w:w="1417"/>
            <w:shd w:fill="6BCB7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低风险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维持现状，定期复查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供应链风险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</w:t>
            </w:r>
          </w:p>
        </w:tc>
        <w:tc>
          <w:tcPr>
            <w:tcW w:type="dxa" w:w="1417"/>
            <w:shd w:fill="6BCB7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低风险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维持现状，定期复查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技术与信息安全风险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</w:t>
            </w:r>
          </w:p>
        </w:tc>
        <w:tc>
          <w:tcPr>
            <w:tcW w:type="dxa" w:w="1417"/>
            <w:shd w:fill="6BCB7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低风险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维持现状，定期复查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人力资源风险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</w:t>
            </w:r>
          </w:p>
        </w:tc>
        <w:tc>
          <w:tcPr>
            <w:tcW w:type="dxa" w:w="1417"/>
            <w:shd w:fill="6BCB7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低风险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维持现状，定期复查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税务风险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</w:t>
            </w:r>
          </w:p>
        </w:tc>
        <w:tc>
          <w:tcPr>
            <w:tcW w:type="dxa" w:w="1417"/>
            <w:shd w:fill="6BCB7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低风险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维持现状，定期复查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行业与市场风险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</w:t>
            </w:r>
          </w:p>
        </w:tc>
        <w:tc>
          <w:tcPr>
            <w:tcW w:type="dxa" w:w="1417"/>
            <w:shd w:fill="6BCB7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低风险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维持现状，定期复查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经营风险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</w:t>
            </w:r>
          </w:p>
        </w:tc>
        <w:tc>
          <w:tcPr>
            <w:tcW w:type="dxa" w:w="1417"/>
            <w:shd w:fill="6BCB7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低风险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维持现状，定期复查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生产运营风险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</w:t>
            </w:r>
          </w:p>
        </w:tc>
        <w:tc>
          <w:tcPr>
            <w:tcW w:type="dxa" w:w="1417"/>
            <w:shd w:fill="6BCB7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低风险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维持现状，定期复查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安全生产风险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</w:t>
            </w:r>
          </w:p>
        </w:tc>
        <w:tc>
          <w:tcPr>
            <w:tcW w:type="dxa" w:w="1417"/>
            <w:shd w:fill="6BCB7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低风险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维持现状，定期复查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环境风险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</w:t>
            </w:r>
          </w:p>
        </w:tc>
        <w:tc>
          <w:tcPr>
            <w:tcW w:type="dxa" w:w="1417"/>
            <w:shd w:fill="6BCB7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低风险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维持现状，定期复查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信用风险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</w:t>
            </w:r>
          </w:p>
        </w:tc>
        <w:tc>
          <w:tcPr>
            <w:tcW w:type="dxa" w:w="1417"/>
            <w:shd w:fill="6BCB7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低风险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维持现状，定期复查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关联方与集团风险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</w:t>
            </w:r>
          </w:p>
        </w:tc>
        <w:tc>
          <w:tcPr>
            <w:tcW w:type="dxa" w:w="1417"/>
            <w:shd w:fill="6BCB7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低风险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维持现状，定期复查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项目投资风险</w:t>
            </w:r>
          </w:p>
        </w:tc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1.00</w:t>
            </w:r>
          </w:p>
        </w:tc>
        <w:tc>
          <w:tcPr>
            <w:tcW w:type="dxa" w:w="1417"/>
            <w:shd w:fill="6BCB7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低风险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维持现状，定期复查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3A5C"/>
        </w:rPr>
        <w:t>三、各维度详细分析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6BCB77"/>
          <w:sz w:val="22"/>
        </w:rPr>
        <w:t xml:space="preserve">■ 财务风险　</w:t>
      </w:r>
      <w:r>
        <w:rPr>
          <w:rFonts w:ascii="微软雅黑" w:hAnsi="微软雅黑" w:eastAsia="微软雅黑"/>
          <w:b w:val="0"/>
          <w:color w:val="6BCB77"/>
          <w:sz w:val="20"/>
        </w:rPr>
        <w:t>评分：1.00　等级：低风险</w:t>
      </w:r>
    </w:p>
    <w:p>
      <w:pPr>
        <w:spacing w:after="120" w:line="360" w:lineRule="exact"/>
      </w:pPr>
      <w:r>
        <w:rPr>
          <w:rFonts w:ascii="微软雅黑" w:hAnsi="微软雅黑" w:eastAsia="微软雅黑"/>
          <w:b w:val="0"/>
          <w:color w:val="808080"/>
          <w:sz w:val="20"/>
        </w:rPr>
        <w:t>（无详细发现项）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6BCB77"/>
          <w:sz w:val="22"/>
        </w:rPr>
        <w:t xml:space="preserve">■ 法律与合规风险　</w:t>
      </w:r>
      <w:r>
        <w:rPr>
          <w:rFonts w:ascii="微软雅黑" w:hAnsi="微软雅黑" w:eastAsia="微软雅黑"/>
          <w:b w:val="0"/>
          <w:color w:val="6BCB77"/>
          <w:sz w:val="20"/>
        </w:rPr>
        <w:t>评分：1.00　等级：低风险</w:t>
      </w:r>
    </w:p>
    <w:p>
      <w:pPr>
        <w:spacing w:after="120" w:line="360" w:lineRule="exact"/>
      </w:pPr>
      <w:r>
        <w:rPr>
          <w:rFonts w:ascii="微软雅黑" w:hAnsi="微软雅黑" w:eastAsia="微软雅黑"/>
          <w:b w:val="0"/>
          <w:color w:val="808080"/>
          <w:sz w:val="20"/>
        </w:rPr>
        <w:t>（无详细发现项）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6BCB77"/>
          <w:sz w:val="22"/>
        </w:rPr>
        <w:t xml:space="preserve">■ 供应链风险　</w:t>
      </w:r>
      <w:r>
        <w:rPr>
          <w:rFonts w:ascii="微软雅黑" w:hAnsi="微软雅黑" w:eastAsia="微软雅黑"/>
          <w:b w:val="0"/>
          <w:color w:val="6BCB77"/>
          <w:sz w:val="20"/>
        </w:rPr>
        <w:t>评分：1.00　等级：低风险</w:t>
      </w:r>
    </w:p>
    <w:p>
      <w:pPr>
        <w:spacing w:after="120" w:line="360" w:lineRule="exact"/>
      </w:pPr>
      <w:r>
        <w:rPr>
          <w:rFonts w:ascii="微软雅黑" w:hAnsi="微软雅黑" w:eastAsia="微软雅黑"/>
          <w:b w:val="0"/>
          <w:color w:val="808080"/>
          <w:sz w:val="20"/>
        </w:rPr>
        <w:t>（无详细发现项）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6BCB77"/>
          <w:sz w:val="22"/>
        </w:rPr>
        <w:t xml:space="preserve">■ 技术与信息安全风险　</w:t>
      </w:r>
      <w:r>
        <w:rPr>
          <w:rFonts w:ascii="微软雅黑" w:hAnsi="微软雅黑" w:eastAsia="微软雅黑"/>
          <w:b w:val="0"/>
          <w:color w:val="6BCB77"/>
          <w:sz w:val="20"/>
        </w:rPr>
        <w:t>评分：1.00　等级：低风险</w:t>
      </w:r>
    </w:p>
    <w:p>
      <w:pPr>
        <w:spacing w:after="120" w:line="360" w:lineRule="exact"/>
      </w:pPr>
      <w:r>
        <w:rPr>
          <w:rFonts w:ascii="微软雅黑" w:hAnsi="微软雅黑" w:eastAsia="微软雅黑"/>
          <w:b w:val="0"/>
          <w:color w:val="808080"/>
          <w:sz w:val="20"/>
        </w:rPr>
        <w:t>（无详细发现项）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6BCB77"/>
          <w:sz w:val="22"/>
        </w:rPr>
        <w:t xml:space="preserve">■ 人力资源风险　</w:t>
      </w:r>
      <w:r>
        <w:rPr>
          <w:rFonts w:ascii="微软雅黑" w:hAnsi="微软雅黑" w:eastAsia="微软雅黑"/>
          <w:b w:val="0"/>
          <w:color w:val="6BCB77"/>
          <w:sz w:val="20"/>
        </w:rPr>
        <w:t>评分：1.00　等级：低风险</w:t>
      </w:r>
    </w:p>
    <w:p>
      <w:pPr>
        <w:spacing w:after="120" w:line="360" w:lineRule="exact"/>
      </w:pPr>
      <w:r>
        <w:rPr>
          <w:rFonts w:ascii="微软雅黑" w:hAnsi="微软雅黑" w:eastAsia="微软雅黑"/>
          <w:b w:val="0"/>
          <w:color w:val="808080"/>
          <w:sz w:val="20"/>
        </w:rPr>
        <w:t>（无详细发现项）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6BCB77"/>
          <w:sz w:val="22"/>
        </w:rPr>
        <w:t xml:space="preserve">■ 税务风险　</w:t>
      </w:r>
      <w:r>
        <w:rPr>
          <w:rFonts w:ascii="微软雅黑" w:hAnsi="微软雅黑" w:eastAsia="微软雅黑"/>
          <w:b w:val="0"/>
          <w:color w:val="6BCB77"/>
          <w:sz w:val="20"/>
        </w:rPr>
        <w:t>评分：1.00　等级：低风险</w:t>
      </w:r>
    </w:p>
    <w:p>
      <w:pPr>
        <w:spacing w:after="120" w:line="360" w:lineRule="exact"/>
      </w:pPr>
      <w:r>
        <w:rPr>
          <w:rFonts w:ascii="微软雅黑" w:hAnsi="微软雅黑" w:eastAsia="微软雅黑"/>
          <w:b w:val="0"/>
          <w:color w:val="808080"/>
          <w:sz w:val="20"/>
        </w:rPr>
        <w:t>（无详细发现项）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6BCB77"/>
          <w:sz w:val="22"/>
        </w:rPr>
        <w:t xml:space="preserve">■ 行业与市场风险　</w:t>
      </w:r>
      <w:r>
        <w:rPr>
          <w:rFonts w:ascii="微软雅黑" w:hAnsi="微软雅黑" w:eastAsia="微软雅黑"/>
          <w:b w:val="0"/>
          <w:color w:val="6BCB77"/>
          <w:sz w:val="20"/>
        </w:rPr>
        <w:t>评分：1.00　等级：低风险</w:t>
      </w:r>
    </w:p>
    <w:p>
      <w:pPr>
        <w:spacing w:after="120" w:line="360" w:lineRule="exact"/>
      </w:pPr>
      <w:r>
        <w:rPr>
          <w:rFonts w:ascii="微软雅黑" w:hAnsi="微软雅黑" w:eastAsia="微软雅黑"/>
          <w:b w:val="0"/>
          <w:color w:val="808080"/>
          <w:sz w:val="20"/>
        </w:rPr>
        <w:t>（无详细发现项）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6BCB77"/>
          <w:sz w:val="22"/>
        </w:rPr>
        <w:t xml:space="preserve">■ 经营风险　</w:t>
      </w:r>
      <w:r>
        <w:rPr>
          <w:rFonts w:ascii="微软雅黑" w:hAnsi="微软雅黑" w:eastAsia="微软雅黑"/>
          <w:b w:val="0"/>
          <w:color w:val="6BCB77"/>
          <w:sz w:val="20"/>
        </w:rPr>
        <w:t>评分：1.00　等级：低风险</w:t>
      </w:r>
    </w:p>
    <w:p>
      <w:pPr>
        <w:spacing w:after="120" w:line="360" w:lineRule="exact"/>
      </w:pPr>
      <w:r>
        <w:rPr>
          <w:rFonts w:ascii="微软雅黑" w:hAnsi="微软雅黑" w:eastAsia="微软雅黑"/>
          <w:b w:val="0"/>
          <w:color w:val="808080"/>
          <w:sz w:val="20"/>
        </w:rPr>
        <w:t>（无详细发现项）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6BCB77"/>
          <w:sz w:val="22"/>
        </w:rPr>
        <w:t xml:space="preserve">■ 生产运营风险　</w:t>
      </w:r>
      <w:r>
        <w:rPr>
          <w:rFonts w:ascii="微软雅黑" w:hAnsi="微软雅黑" w:eastAsia="微软雅黑"/>
          <w:b w:val="0"/>
          <w:color w:val="6BCB77"/>
          <w:sz w:val="20"/>
        </w:rPr>
        <w:t>评分：1.00　等级：低风险</w:t>
      </w:r>
    </w:p>
    <w:p>
      <w:pPr>
        <w:spacing w:after="120" w:line="360" w:lineRule="exact"/>
      </w:pPr>
      <w:r>
        <w:rPr>
          <w:rFonts w:ascii="微软雅黑" w:hAnsi="微软雅黑" w:eastAsia="微软雅黑"/>
          <w:b w:val="0"/>
          <w:color w:val="808080"/>
          <w:sz w:val="20"/>
        </w:rPr>
        <w:t>（无详细发现项）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6BCB77"/>
          <w:sz w:val="22"/>
        </w:rPr>
        <w:t xml:space="preserve">■ 安全生产风险　</w:t>
      </w:r>
      <w:r>
        <w:rPr>
          <w:rFonts w:ascii="微软雅黑" w:hAnsi="微软雅黑" w:eastAsia="微软雅黑"/>
          <w:b w:val="0"/>
          <w:color w:val="6BCB77"/>
          <w:sz w:val="20"/>
        </w:rPr>
        <w:t>评分：1.00　等级：低风险</w:t>
      </w:r>
    </w:p>
    <w:p>
      <w:pPr>
        <w:spacing w:after="120" w:line="360" w:lineRule="exact"/>
      </w:pPr>
      <w:r>
        <w:rPr>
          <w:rFonts w:ascii="微软雅黑" w:hAnsi="微软雅黑" w:eastAsia="微软雅黑"/>
          <w:b w:val="0"/>
          <w:color w:val="808080"/>
          <w:sz w:val="20"/>
        </w:rPr>
        <w:t>（无详细发现项）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6BCB77"/>
          <w:sz w:val="22"/>
        </w:rPr>
        <w:t xml:space="preserve">■ 环境风险　</w:t>
      </w:r>
      <w:r>
        <w:rPr>
          <w:rFonts w:ascii="微软雅黑" w:hAnsi="微软雅黑" w:eastAsia="微软雅黑"/>
          <w:b w:val="0"/>
          <w:color w:val="6BCB77"/>
          <w:sz w:val="20"/>
        </w:rPr>
        <w:t>评分：1.00　等级：低风险</w:t>
      </w:r>
    </w:p>
    <w:p>
      <w:pPr>
        <w:spacing w:after="120" w:line="360" w:lineRule="exact"/>
      </w:pPr>
      <w:r>
        <w:rPr>
          <w:rFonts w:ascii="微软雅黑" w:hAnsi="微软雅黑" w:eastAsia="微软雅黑"/>
          <w:b w:val="0"/>
          <w:color w:val="808080"/>
          <w:sz w:val="20"/>
        </w:rPr>
        <w:t>（无详细发现项）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6BCB77"/>
          <w:sz w:val="22"/>
        </w:rPr>
        <w:t xml:space="preserve">■ 信用风险　</w:t>
      </w:r>
      <w:r>
        <w:rPr>
          <w:rFonts w:ascii="微软雅黑" w:hAnsi="微软雅黑" w:eastAsia="微软雅黑"/>
          <w:b w:val="0"/>
          <w:color w:val="6BCB77"/>
          <w:sz w:val="20"/>
        </w:rPr>
        <w:t>评分：1.00　等级：低风险</w:t>
      </w:r>
    </w:p>
    <w:p>
      <w:pPr>
        <w:spacing w:after="120" w:line="360" w:lineRule="exact"/>
      </w:pPr>
      <w:r>
        <w:rPr>
          <w:rFonts w:ascii="微软雅黑" w:hAnsi="微软雅黑" w:eastAsia="微软雅黑"/>
          <w:b w:val="0"/>
          <w:color w:val="808080"/>
          <w:sz w:val="20"/>
        </w:rPr>
        <w:t>（无详细发现项）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6BCB77"/>
          <w:sz w:val="22"/>
        </w:rPr>
        <w:t xml:space="preserve">■ 关联方与集团风险　</w:t>
      </w:r>
      <w:r>
        <w:rPr>
          <w:rFonts w:ascii="微软雅黑" w:hAnsi="微软雅黑" w:eastAsia="微软雅黑"/>
          <w:b w:val="0"/>
          <w:color w:val="6BCB77"/>
          <w:sz w:val="20"/>
        </w:rPr>
        <w:t>评分：1.00　等级：低风险</w:t>
      </w:r>
    </w:p>
    <w:p>
      <w:pPr>
        <w:spacing w:after="120" w:line="360" w:lineRule="exact"/>
      </w:pPr>
      <w:r>
        <w:rPr>
          <w:rFonts w:ascii="微软雅黑" w:hAnsi="微软雅黑" w:eastAsia="微软雅黑"/>
          <w:b w:val="0"/>
          <w:color w:val="808080"/>
          <w:sz w:val="20"/>
        </w:rPr>
        <w:t>（无详细发现项）</w:t>
      </w:r>
    </w:p>
    <w:p>
      <w:pPr>
        <w:spacing w:before="240" w:after="80"/>
      </w:pPr>
      <w:r>
        <w:rPr>
          <w:rFonts w:ascii="微软雅黑" w:hAnsi="微软雅黑" w:eastAsia="微软雅黑"/>
          <w:b/>
          <w:color w:val="6BCB77"/>
          <w:sz w:val="22"/>
        </w:rPr>
        <w:t xml:space="preserve">■ 项目投资风险　</w:t>
      </w:r>
      <w:r>
        <w:rPr>
          <w:rFonts w:ascii="微软雅黑" w:hAnsi="微软雅黑" w:eastAsia="微软雅黑"/>
          <w:b w:val="0"/>
          <w:color w:val="6BCB77"/>
          <w:sz w:val="20"/>
        </w:rPr>
        <w:t>评分：1.00　等级：低风险</w:t>
      </w:r>
    </w:p>
    <w:p>
      <w:pPr>
        <w:spacing w:after="120" w:line="360" w:lineRule="exact"/>
      </w:pPr>
      <w:r>
        <w:rPr>
          <w:rFonts w:ascii="微软雅黑" w:hAnsi="微软雅黑" w:eastAsia="微软雅黑"/>
          <w:b w:val="0"/>
          <w:color w:val="808080"/>
          <w:sz w:val="20"/>
        </w:rPr>
        <w:t>（无详细发现项）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3A5C"/>
        </w:rPr>
        <w:t>四、核心风险总结</w:t>
      </w:r>
    </w:p>
    <w:p>
      <w:pPr>
        <w:spacing w:after="120" w:line="360" w:lineRule="exact"/>
      </w:pPr>
      <w:r>
        <w:rPr>
          <w:rFonts w:ascii="微软雅黑" w:hAnsi="微软雅黑" w:eastAsia="微软雅黑"/>
          <w:b w:val="0"/>
          <w:sz w:val="20"/>
        </w:rPr>
        <w:t>未识别出关键风险点，整体风险可控。</w:t>
      </w:r>
    </w:p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3A5C"/>
        </w:rPr>
        <w:t>五、附录：原始数据摘要</w:t>
      </w:r>
    </w:p>
    <w:p>
      <w:pPr>
        <w:spacing w:after="120" w:line="360" w:lineRule="exact"/>
      </w:pPr>
      <w:r>
        <w:rPr>
          <w:rFonts w:ascii="微软雅黑" w:hAnsi="微软雅黑" w:eastAsia="微软雅黑"/>
          <w:b w:val="0"/>
          <w:sz w:val="20"/>
        </w:rPr>
        <w:t>以下为各Sheet中提取的关键数据字段摘要：</w:t>
      </w:r>
    </w:p>
    <w:p>
      <w:pPr>
        <w:pStyle w:val="Heading2"/>
      </w:pPr>
      <w:r>
        <w:rPr>
          <w:rFonts w:ascii="微软雅黑" w:hAnsi="微软雅黑" w:eastAsia="微软雅黑"/>
          <w:color w:val="2D6A9F"/>
        </w:rPr>
        <w:t>综合评估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808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236"/>
            <w:shd w:fill="80808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填写内容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经营风险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市场地位、客户集中度、营收稳定性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财务风险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偿债能力、盈利能力、现金流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生产运营风险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产能利用率、设备状态、质量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安全生产风险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事故率、隐患管理、危化品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环境风险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合规性、排放管理、环保投入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法律合规风险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诉讼、合同、知识产权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供应链风险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供应商依赖、物流、地缘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技术风险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研发能力、技术迭代、数据安全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人力资源风险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人才流失、劳资关系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信用风险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征信记录、履约能力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主要风险领域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列出前3个主要风险领域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风险缓解措施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8"/>
              </w:rPr>
              <w:t>总体风险应对策略</w:t>
            </w:r>
          </w:p>
        </w:tc>
      </w:tr>
    </w:tbl>
    <w:p/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