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Process Name: Currency Transaction Detection and CTR Filing</w:t>
      </w:r>
    </w:p>
    <w:p>
      <w:r>
        <w:t>P1 — Transaction Initiation</w:t>
      </w:r>
    </w:p>
    <w:p>
      <w:r>
        <w:t>A customer conducts a cash deposit, withdrawal, exchange, payment, or transfer at a branch or through another bank channel that handles currency transactions.</w:t>
      </w:r>
    </w:p>
    <w:p>
      <w:r>
        <w:t>P2 — Transaction Capture</w:t>
      </w:r>
    </w:p>
    <w:p>
      <w:r>
        <w:t>The transaction is recorded in the teller or core banking system with transaction type, amount, customer details, and cash indicator.</w:t>
      </w:r>
    </w:p>
    <w:p>
      <w:r>
        <w:t>P3 — Threshold and Aggregation Review</w:t>
      </w:r>
    </w:p>
    <w:p>
      <w:r>
        <w:t>The transaction data feeds the CTR rules engine, which identifies transactions involving currency of more than $10,000 and flags potentially reportable activity.</w:t>
      </w:r>
    </w:p>
    <w:p>
      <w:r>
        <w:t>P4 — Case Creation</w:t>
      </w:r>
    </w:p>
    <w:p>
      <w:r>
        <w:t>A CTR case is automatically or manually created for transactions meeting reporting criteria.</w:t>
      </w:r>
    </w:p>
    <w:p>
      <w:r>
        <w:t>P5 — Analyst Review</w:t>
      </w:r>
    </w:p>
    <w:p>
      <w:r>
        <w:t>Operations or BSA analysts review the case, validate transaction details, confirm reportability, and gather required customer information.</w:t>
      </w:r>
    </w:p>
    <w:p>
      <w:r>
        <w:t>P6 — Compliance Review and Filing</w:t>
      </w:r>
    </w:p>
    <w:p>
      <w:r>
        <w:t>Required approvals are obtained and the CTR is filed through the designated reporting channel within the required timeline.</w:t>
      </w:r>
    </w:p>
    <w:p>
      <w:r>
        <w:t>P7 — Reconciliation and Exception Management</w:t>
      </w:r>
    </w:p>
    <w:p>
      <w:r>
        <w:t>Reconciliations are performed to confirm all reportable transactions resulted in CTR cases and filings. Exceptions are investigated and remediated.</w:t>
      </w:r>
    </w:p>
    <w:p>
      <w:r>
        <w:t>P8 — QA and Oversight</w:t>
      </w:r>
    </w:p>
    <w:p>
      <w:r>
        <w:t>Quality assurance, audit, and governance reporting provide oversight of CTR completeness, timeliness, and data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