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394960" cy="1215522"/>
            <wp:docPr id="1" name="Picture 1"/>
            <wp:cNvGraphicFramePr>
              <a:graphicFrameLocks noChangeAspect="1"/>
            </wp:cNvGraphicFramePr>
            <a:graphic>
              <a:graphicData uri="http://schemas.openxmlformats.org/drawingml/2006/picture">
                <pic:pic>
                  <pic:nvPicPr>
                    <pic:cNvPr id="0" name="ANL_RGB-APS-fullname_horiz.png"/>
                    <pic:cNvPicPr/>
                  </pic:nvPicPr>
                  <pic:blipFill>
                    <a:blip r:embed="rId11"/>
                    <a:stretch>
                      <a:fillRect/>
                    </a:stretch>
                  </pic:blipFill>
                  <pic:spPr>
                    <a:xfrm>
                      <a:off x="0" y="0"/>
                      <a:ext cx="5394960" cy="1215522"/>
                    </a:xfrm>
                    <a:prstGeom prst="rect"/>
                  </pic:spPr>
                </pic:pic>
              </a:graphicData>
            </a:graphic>
          </wp:inline>
        </w:drawing>
      </w:r>
    </w:p>
    <w:p>
      <w:pPr>
        <w:jc w:val="center"/>
      </w:pPr>
      <w:r>
        <w:rPr>
          <w:b/>
          <w:color w:val="17365D"/>
          <w:sz w:val="58"/>
        </w:rPr>
        <w:t>CDCU TOOLKIT</w:t>
      </w:r>
    </w:p>
    <w:p>
      <w:pPr>
        <w:jc w:val="center"/>
      </w:pPr>
      <w:r>
        <w:rPr>
          <w:color w:val="505050"/>
          <w:sz w:val="36"/>
        </w:rPr>
        <w:t>Function, Sequence, and Engineering Use Guide</w:t>
      </w:r>
    </w:p>
    <w:p>
      <w:pPr>
        <w:jc w:val="center"/>
      </w:pPr>
      <w:r>
        <w:rPr>
          <w:b/>
        </w:rPr>
        <w:t>CAENels CDCU-100 | CDCU-200 | CDCU-300</w:t>
      </w:r>
    </w:p>
    <w:p>
      <w:pPr>
        <w:spacing w:before="720"/>
        <w:jc w:val="center"/>
      </w:pPr>
      <w:r>
        <w:rPr>
          <w:b/>
          <w:sz w:val="23"/>
        </w:rPr>
        <w:t>Authored By:</w:t>
        <w:br/>
      </w:r>
      <w:r>
        <w:rPr>
          <w:b/>
          <w:sz w:val="23"/>
        </w:rPr>
        <w:t>Byron Jordan</w:t>
        <w:br/>
      </w:r>
      <w:r>
        <w:rPr>
          <w:b w:val="0"/>
          <w:sz w:val="23"/>
        </w:rPr>
        <w:t>Power Supply Engineer</w:t>
        <w:br/>
      </w:r>
      <w:r>
        <w:rPr>
          <w:b w:val="0"/>
          <w:sz w:val="23"/>
        </w:rPr>
        <w:t>Advanced Photon Source (APS)</w:t>
        <w:br/>
      </w:r>
      <w:r>
        <w:rPr>
          <w:b w:val="0"/>
          <w:sz w:val="23"/>
        </w:rPr>
        <w:t>Argonne National Laboratory</w:t>
        <w:br/>
      </w:r>
    </w:p>
    <w:p>
      <w:pPr>
        <w:spacing w:before="400"/>
        <w:jc w:val="center"/>
      </w:pPr>
      <w:r>
        <w:rPr>
          <w:i/>
          <w:sz w:val="19"/>
        </w:rPr>
        <w:t>Engineering documentation for live monitoring, PMM capture, fault sequencing, power-balance diagnostics, FFT/PSD, ppm reporting, and field troubleshooting.</w:t>
      </w:r>
    </w:p>
    <w:p>
      <w:r>
        <w:br w:type="page"/>
      </w:r>
    </w:p>
    <w:p>
      <w:pPr>
        <w:pStyle w:val="Heading1"/>
      </w:pPr>
      <w:r>
        <w:t>1. Engineering Intent</w:t>
      </w:r>
    </w:p>
    <w:p>
      <w:r>
        <w:t>I built this toolkit to preserve the evidence around a CDCU event before the evidence disappears. The software is not intended to replace electrical troubleshooting. It gives me synchronized context across the measurements I can obtain remotely, captures PMM data before and after a fault sequence, and reduces the amount of guessing required when I move from software evidence to bench measurements. Frequency-domain analysis is intentionally isolated to the CDCU Post-Mortem Monitor because the PMM provides a fixed 10 kHz hardware time base. The live Ethernet polling stream remains valuable for slower power-balance and state diagnostics, but it is not used to create FFT or PSD results.</w:t>
      </w:r>
    </w:p>
    <w:p>
      <w:r>
        <w:t>The central rule is simple: the first measurement that loses credibility matters. A DC-bus current anomaly does not, by itself, prove a Hall sensor failure or a power-stage failure. The toolkit keeps MRP, MGPC, MRV, MRI, fault-register state, PMM waveforms, power balance, spectral content, and the fault cascade together so the engineering decision is based on the complete sequence.</w:t>
      </w:r>
    </w:p>
    <w:p>
      <w:pPr>
        <w:pStyle w:val="ListBullet"/>
      </w:pPr>
      <w:r>
        <w:t>Initial PMM is acquired, saved, and analyzed immediately. It serves as the baseline witness for the run.</w:t>
      </w:r>
    </w:p>
    <w:p>
      <w:pPr>
        <w:pStyle w:val="ListBullet"/>
      </w:pPr>
      <w:r>
        <w:t>Each newly observed fault stage is appended in first-observed order. The fault cascade is preserved rather than reduced to the final register state.</w:t>
      </w:r>
    </w:p>
    <w:p>
      <w:pPr>
        <w:pStyle w:val="ListBullet"/>
      </w:pPr>
      <w:r>
        <w:t>Each fault-triggered PMM is fetched and analyzed as soon as the hardware buffer is ready, then the PMM is rearmed for the next event.</w:t>
      </w:r>
    </w:p>
    <w:p>
      <w:pPr>
        <w:pStyle w:val="ListBullet"/>
      </w:pPr>
      <w:r>
        <w:t>Efficiency and expected-input-current comparisons are gated by steady-state behavior and meaningful output load.</w:t>
      </w:r>
    </w:p>
    <w:p>
      <w:pPr>
        <w:pStyle w:val="ListBullet"/>
      </w:pPr>
      <w:r>
        <w:t>Relative engineering metrics are reported in both percent and ppm where that form adds value.</w:t>
      </w:r>
    </w:p>
    <w:p>
      <w:pPr/>
      <w:r>
        <w:t>PMM-only spectral policy: FFT and PSD are generated only from PMM waveform records. Live polling remains the source for slow engineering metrics and state history, but it is not used as a spectral data source. A PMM is forced at startup and again immediately before polling timeout, with hardware-triggered PMM captures analyzed when faults occur.</w:t>
      </w:r>
    </w:p>
    <w:p>
      <w:pPr>
        <w:pStyle w:val="ListBullet"/>
      </w:pPr>
      <w:r>
        <w:t>Standalone PMM FFT/PSD analysis is supported without a live CDCU connection.</w:t>
      </w:r>
    </w:p>
    <w:p>
      <w:pPr>
        <w:pStyle w:val="Heading1"/>
      </w:pPr>
      <w:r>
        <w:t>2. Manufacturer Reference Values Used by the Toolkit</w:t>
      </w:r>
    </w:p>
    <w:p>
      <w:r>
        <w:t>CAENels User’s Manual Rev. 1.0, Technical Specifications, page 42, gives the following minimum full-load efficiencies. The toolkit treats them as compliance floors, not nominal fleet averages.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Mar>
              <w:top w:w="70" w:type="dxa"/>
              <w:start w:w="90" w:type="dxa"/>
              <w:bottom w:w="70" w:type="dxa"/>
              <w:end w:w="90" w:type="dxa"/>
            </w:tcMar>
          </w:tcPr>
          <w:p>
            <w:r>
              <w:t>Model</w:t>
            </w:r>
          </w:p>
        </w:tc>
        <w:tc>
          <w:tcPr>
            <w:tcW w:type="dxa" w:w="2045"/>
            <w:shd w:fill="D9EAF7"/>
            <w:tcMar>
              <w:top w:w="70" w:type="dxa"/>
              <w:start w:w="90" w:type="dxa"/>
              <w:bottom w:w="70" w:type="dxa"/>
              <w:end w:w="90" w:type="dxa"/>
            </w:tcMar>
          </w:tcPr>
          <w:p>
            <w:r>
              <w:t>Rated Current</w:t>
            </w:r>
          </w:p>
        </w:tc>
        <w:tc>
          <w:tcPr>
            <w:tcW w:type="dxa" w:w="2045"/>
            <w:shd w:fill="D9EAF7"/>
            <w:tcMar>
              <w:top w:w="70" w:type="dxa"/>
              <w:start w:w="90" w:type="dxa"/>
              <w:bottom w:w="70" w:type="dxa"/>
              <w:end w:w="90" w:type="dxa"/>
            </w:tcMar>
          </w:tcPr>
          <w:p>
            <w:r>
              <w:t>Rated Voltage</w:t>
            </w:r>
          </w:p>
        </w:tc>
        <w:tc>
          <w:tcPr>
            <w:tcW w:type="dxa" w:w="2045"/>
            <w:shd w:fill="D9EAF7"/>
            <w:tcMar>
              <w:top w:w="70" w:type="dxa"/>
              <w:start w:w="90" w:type="dxa"/>
              <w:bottom w:w="70" w:type="dxa"/>
              <w:end w:w="90" w:type="dxa"/>
            </w:tcMar>
          </w:tcPr>
          <w:p>
            <w:r>
              <w:t>Maximum Power</w:t>
            </w:r>
          </w:p>
        </w:tc>
        <w:tc>
          <w:tcPr>
            <w:tcW w:type="dxa" w:w="2045"/>
            <w:shd w:fill="D9EAF7"/>
            <w:tcMar>
              <w:top w:w="70" w:type="dxa"/>
              <w:start w:w="90" w:type="dxa"/>
              <w:bottom w:w="70" w:type="dxa"/>
              <w:end w:w="90" w:type="dxa"/>
            </w:tcMar>
          </w:tcPr>
          <w:p>
            <w:r>
              <w:t>Efficiency @ Full Load</w:t>
            </w:r>
          </w:p>
        </w:tc>
      </w:tr>
      <w:tr>
        <w:tc>
          <w:tcPr>
            <w:tcW w:type="dxa" w:w="2045"/>
            <w:tcMar>
              <w:top w:w="70" w:type="dxa"/>
              <w:start w:w="90" w:type="dxa"/>
              <w:bottom w:w="70" w:type="dxa"/>
              <w:end w:w="90" w:type="dxa"/>
            </w:tcMar>
          </w:tcPr>
          <w:p>
            <w:r>
              <w:t>CDCU-100</w:t>
            </w:r>
          </w:p>
        </w:tc>
        <w:tc>
          <w:tcPr>
            <w:tcW w:type="dxa" w:w="2045"/>
            <w:tcMar>
              <w:top w:w="70" w:type="dxa"/>
              <w:start w:w="90" w:type="dxa"/>
              <w:bottom w:w="70" w:type="dxa"/>
              <w:end w:w="90" w:type="dxa"/>
            </w:tcMar>
          </w:tcPr>
          <w:p>
            <w:r>
              <w:t>100 A</w:t>
            </w:r>
          </w:p>
        </w:tc>
        <w:tc>
          <w:tcPr>
            <w:tcW w:type="dxa" w:w="2045"/>
            <w:tcMar>
              <w:top w:w="70" w:type="dxa"/>
              <w:start w:w="90" w:type="dxa"/>
              <w:bottom w:w="70" w:type="dxa"/>
              <w:end w:w="90" w:type="dxa"/>
            </w:tcMar>
          </w:tcPr>
          <w:p>
            <w:r>
              <w:t>15 V</w:t>
            </w:r>
          </w:p>
        </w:tc>
        <w:tc>
          <w:tcPr>
            <w:tcW w:type="dxa" w:w="2045"/>
            <w:tcMar>
              <w:top w:w="70" w:type="dxa"/>
              <w:start w:w="90" w:type="dxa"/>
              <w:bottom w:w="70" w:type="dxa"/>
              <w:end w:w="90" w:type="dxa"/>
            </w:tcMar>
          </w:tcPr>
          <w:p>
            <w:r>
              <w:t>1.5 kW</w:t>
            </w:r>
          </w:p>
        </w:tc>
        <w:tc>
          <w:tcPr>
            <w:tcW w:type="dxa" w:w="2045"/>
            <w:tcMar>
              <w:top w:w="70" w:type="dxa"/>
              <w:start w:w="90" w:type="dxa"/>
              <w:bottom w:w="70" w:type="dxa"/>
              <w:end w:w="90" w:type="dxa"/>
            </w:tcMar>
          </w:tcPr>
          <w:p>
            <w:r>
              <w:t>&gt; 92 %</w:t>
            </w:r>
          </w:p>
        </w:tc>
      </w:tr>
      <w:tr>
        <w:tc>
          <w:tcPr>
            <w:tcW w:type="dxa" w:w="2045"/>
            <w:tcMar>
              <w:top w:w="70" w:type="dxa"/>
              <w:start w:w="90" w:type="dxa"/>
              <w:bottom w:w="70" w:type="dxa"/>
              <w:end w:w="90" w:type="dxa"/>
            </w:tcMar>
          </w:tcPr>
          <w:p>
            <w:r>
              <w:t>CDCU-200</w:t>
            </w:r>
          </w:p>
        </w:tc>
        <w:tc>
          <w:tcPr>
            <w:tcW w:type="dxa" w:w="2045"/>
            <w:tcMar>
              <w:top w:w="70" w:type="dxa"/>
              <w:start w:w="90" w:type="dxa"/>
              <w:bottom w:w="70" w:type="dxa"/>
              <w:end w:w="90" w:type="dxa"/>
            </w:tcMar>
          </w:tcPr>
          <w:p>
            <w:r>
              <w:t>200 A</w:t>
            </w:r>
          </w:p>
        </w:tc>
        <w:tc>
          <w:tcPr>
            <w:tcW w:type="dxa" w:w="2045"/>
            <w:tcMar>
              <w:top w:w="70" w:type="dxa"/>
              <w:start w:w="90" w:type="dxa"/>
              <w:bottom w:w="70" w:type="dxa"/>
              <w:end w:w="90" w:type="dxa"/>
            </w:tcMar>
          </w:tcPr>
          <w:p>
            <w:r>
              <w:t>15 V</w:t>
            </w:r>
          </w:p>
        </w:tc>
        <w:tc>
          <w:tcPr>
            <w:tcW w:type="dxa" w:w="2045"/>
            <w:tcMar>
              <w:top w:w="70" w:type="dxa"/>
              <w:start w:w="90" w:type="dxa"/>
              <w:bottom w:w="70" w:type="dxa"/>
              <w:end w:w="90" w:type="dxa"/>
            </w:tcMar>
          </w:tcPr>
          <w:p>
            <w:r>
              <w:t>3.0 kW</w:t>
            </w:r>
          </w:p>
        </w:tc>
        <w:tc>
          <w:tcPr>
            <w:tcW w:type="dxa" w:w="2045"/>
            <w:tcMar>
              <w:top w:w="70" w:type="dxa"/>
              <w:start w:w="90" w:type="dxa"/>
              <w:bottom w:w="70" w:type="dxa"/>
              <w:end w:w="90" w:type="dxa"/>
            </w:tcMar>
          </w:tcPr>
          <w:p>
            <w:r>
              <w:t>&gt; 94 %</w:t>
            </w:r>
          </w:p>
        </w:tc>
      </w:tr>
      <w:tr>
        <w:tc>
          <w:tcPr>
            <w:tcW w:type="dxa" w:w="2045"/>
            <w:tcMar>
              <w:top w:w="70" w:type="dxa"/>
              <w:start w:w="90" w:type="dxa"/>
              <w:bottom w:w="70" w:type="dxa"/>
              <w:end w:w="90" w:type="dxa"/>
            </w:tcMar>
          </w:tcPr>
          <w:p>
            <w:r>
              <w:t>CDCU-300</w:t>
            </w:r>
          </w:p>
        </w:tc>
        <w:tc>
          <w:tcPr>
            <w:tcW w:type="dxa" w:w="2045"/>
            <w:tcMar>
              <w:top w:w="70" w:type="dxa"/>
              <w:start w:w="90" w:type="dxa"/>
              <w:bottom w:w="70" w:type="dxa"/>
              <w:end w:w="90" w:type="dxa"/>
            </w:tcMar>
          </w:tcPr>
          <w:p>
            <w:r>
              <w:t>300 A</w:t>
            </w:r>
          </w:p>
        </w:tc>
        <w:tc>
          <w:tcPr>
            <w:tcW w:type="dxa" w:w="2045"/>
            <w:tcMar>
              <w:top w:w="70" w:type="dxa"/>
              <w:start w:w="90" w:type="dxa"/>
              <w:bottom w:w="70" w:type="dxa"/>
              <w:end w:w="90" w:type="dxa"/>
            </w:tcMar>
          </w:tcPr>
          <w:p>
            <w:r>
              <w:t>45 V</w:t>
            </w:r>
          </w:p>
        </w:tc>
        <w:tc>
          <w:tcPr>
            <w:tcW w:type="dxa" w:w="2045"/>
            <w:tcMar>
              <w:top w:w="70" w:type="dxa"/>
              <w:start w:w="90" w:type="dxa"/>
              <w:bottom w:w="70" w:type="dxa"/>
              <w:end w:w="90" w:type="dxa"/>
            </w:tcMar>
          </w:tcPr>
          <w:p>
            <w:r>
              <w:t>13.5 kW</w:t>
            </w:r>
          </w:p>
        </w:tc>
        <w:tc>
          <w:tcPr>
            <w:tcW w:type="dxa" w:w="2045"/>
            <w:tcMar>
              <w:top w:w="70" w:type="dxa"/>
              <w:start w:w="90" w:type="dxa"/>
              <w:bottom w:w="70" w:type="dxa"/>
              <w:end w:w="90" w:type="dxa"/>
            </w:tcMar>
          </w:tcPr>
          <w:p>
            <w:r>
              <w:t>&gt; 97 %</w:t>
            </w:r>
          </w:p>
        </w:tc>
      </w:tr>
    </w:tbl>
    <w:p>
      <w:r>
        <w:t>The same specification table lists a 36–72 VDC input range for all three models. A unit-specific healthy efficiency baseline may be higher than the CAEN minimum and is preferred for expected-input-current calculations when that baseline has been established from defensible data.</w:t>
      </w:r>
    </w:p>
    <w:p>
      <w:pPr>
        <w:pStyle w:val="Heading1"/>
      </w:pPr>
      <w:r>
        <w:t>3. Toolkit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Mar>
              <w:top w:w="70" w:type="dxa"/>
              <w:start w:w="90" w:type="dxa"/>
              <w:bottom w:w="70" w:type="dxa"/>
              <w:end w:w="90" w:type="dxa"/>
            </w:tcMar>
          </w:tcPr>
          <w:p>
            <w:r>
              <w:t>Layer</w:t>
            </w:r>
          </w:p>
        </w:tc>
        <w:tc>
          <w:tcPr>
            <w:tcW w:type="dxa" w:w="3408"/>
            <w:shd w:fill="D9EAF7"/>
            <w:tcMar>
              <w:top w:w="70" w:type="dxa"/>
              <w:start w:w="90" w:type="dxa"/>
              <w:bottom w:w="70" w:type="dxa"/>
              <w:end w:w="90" w:type="dxa"/>
            </w:tcMar>
          </w:tcPr>
          <w:p>
            <w:r>
              <w:t>Primary Module</w:t>
            </w:r>
          </w:p>
        </w:tc>
        <w:tc>
          <w:tcPr>
            <w:tcW w:type="dxa" w:w="3408"/>
            <w:shd w:fill="D9EAF7"/>
            <w:tcMar>
              <w:top w:w="70" w:type="dxa"/>
              <w:start w:w="90" w:type="dxa"/>
              <w:bottom w:w="70" w:type="dxa"/>
              <w:end w:w="90" w:type="dxa"/>
            </w:tcMar>
          </w:tcPr>
          <w:p>
            <w:r>
              <w:t>Responsibility</w:t>
            </w:r>
          </w:p>
        </w:tc>
      </w:tr>
      <w:tr>
        <w:tc>
          <w:tcPr>
            <w:tcW w:type="dxa" w:w="3408"/>
            <w:tcMar>
              <w:top w:w="70" w:type="dxa"/>
              <w:start w:w="90" w:type="dxa"/>
              <w:bottom w:w="70" w:type="dxa"/>
              <w:end w:w="90" w:type="dxa"/>
            </w:tcMar>
          </w:tcPr>
          <w:p>
            <w:r>
              <w:t>Acquisition</w:t>
            </w:r>
          </w:p>
        </w:tc>
        <w:tc>
          <w:tcPr>
            <w:tcW w:type="dxa" w:w="3408"/>
            <w:tcMar>
              <w:top w:w="70" w:type="dxa"/>
              <w:start w:w="90" w:type="dxa"/>
              <w:bottom w:w="70" w:type="dxa"/>
              <w:end w:w="90" w:type="dxa"/>
            </w:tcMar>
          </w:tcPr>
          <w:p>
            <w:r>
              <w:t>cdcu_monitor.py / cdcu_pmm.py</w:t>
            </w:r>
          </w:p>
        </w:tc>
        <w:tc>
          <w:tcPr>
            <w:tcW w:type="dxa" w:w="3408"/>
            <w:tcMar>
              <w:top w:w="70" w:type="dxa"/>
              <w:start w:w="90" w:type="dxa"/>
              <w:bottom w:w="70" w:type="dxa"/>
              <w:end w:w="90" w:type="dxa"/>
            </w:tcMar>
          </w:tcPr>
          <w:p>
            <w:r>
              <w:t>Live register polling, PMM arm/force/fetch/rearm, time-ordered run control.</w:t>
            </w:r>
          </w:p>
        </w:tc>
      </w:tr>
      <w:tr>
        <w:tc>
          <w:tcPr>
            <w:tcW w:type="dxa" w:w="3408"/>
            <w:tcMar>
              <w:top w:w="70" w:type="dxa"/>
              <w:start w:w="90" w:type="dxa"/>
              <w:bottom w:w="70" w:type="dxa"/>
              <w:end w:w="90" w:type="dxa"/>
            </w:tcMar>
          </w:tcPr>
          <w:p>
            <w:r>
              <w:t>Engineering diagnostics</w:t>
            </w:r>
          </w:p>
        </w:tc>
        <w:tc>
          <w:tcPr>
            <w:tcW w:type="dxa" w:w="3408"/>
            <w:tcMar>
              <w:top w:w="70" w:type="dxa"/>
              <w:start w:w="90" w:type="dxa"/>
              <w:bottom w:w="70" w:type="dxa"/>
              <w:end w:w="90" w:type="dxa"/>
            </w:tcMar>
          </w:tcPr>
          <w:p>
            <w:r>
              <w:t>cdcu_diagnostics.py</w:t>
            </w:r>
          </w:p>
        </w:tc>
        <w:tc>
          <w:tcPr>
            <w:tcW w:type="dxa" w:w="3408"/>
            <w:tcMar>
              <w:top w:w="70" w:type="dxa"/>
              <w:start w:w="90" w:type="dxa"/>
              <w:bottom w:w="70" w:type="dxa"/>
              <w:end w:w="90" w:type="dxa"/>
            </w:tcMar>
          </w:tcPr>
          <w:p>
            <w:r>
              <w:t>Power balance, CAEN efficiency limits, expected input current, load fraction, plateau gating, ppm conversion, state classification.</w:t>
            </w:r>
          </w:p>
        </w:tc>
      </w:tr>
      <w:tr>
        <w:tc>
          <w:tcPr>
            <w:tcW w:type="dxa" w:w="3408"/>
            <w:tcMar>
              <w:top w:w="70" w:type="dxa"/>
              <w:start w:w="90" w:type="dxa"/>
              <w:bottom w:w="70" w:type="dxa"/>
              <w:end w:w="90" w:type="dxa"/>
            </w:tcMar>
          </w:tcPr>
          <w:p>
            <w:r>
              <w:t>Fault interpretation</w:t>
            </w:r>
          </w:p>
        </w:tc>
        <w:tc>
          <w:tcPr>
            <w:tcW w:type="dxa" w:w="3408"/>
            <w:tcMar>
              <w:top w:w="70" w:type="dxa"/>
              <w:start w:w="90" w:type="dxa"/>
              <w:bottom w:w="70" w:type="dxa"/>
              <w:end w:w="90" w:type="dxa"/>
            </w:tcMar>
          </w:tcPr>
          <w:p>
            <w:r>
              <w:t>cdcu_registers.py</w:t>
            </w:r>
          </w:p>
        </w:tc>
        <w:tc>
          <w:tcPr>
            <w:tcW w:type="dxa" w:w="3408"/>
            <w:tcMar>
              <w:top w:w="70" w:type="dxa"/>
              <w:start w:w="90" w:type="dxa"/>
              <w:bottom w:w="70" w:type="dxa"/>
              <w:end w:w="90" w:type="dxa"/>
            </w:tcMar>
          </w:tcPr>
          <w:p>
            <w:r>
              <w:t>MFTR/MSTR/MWRR decoding and readable fault names used by the cascade.</w:t>
            </w:r>
          </w:p>
        </w:tc>
      </w:tr>
      <w:tr>
        <w:tc>
          <w:tcPr>
            <w:tcW w:type="dxa" w:w="3408"/>
            <w:tcMar>
              <w:top w:w="70" w:type="dxa"/>
              <w:start w:w="90" w:type="dxa"/>
              <w:bottom w:w="70" w:type="dxa"/>
              <w:end w:w="90" w:type="dxa"/>
            </w:tcMar>
          </w:tcPr>
          <w:p>
            <w:r>
              <w:t>Spectral analysis</w:t>
            </w:r>
          </w:p>
        </w:tc>
        <w:tc>
          <w:tcPr>
            <w:tcW w:type="dxa" w:w="3408"/>
            <w:tcMar>
              <w:top w:w="70" w:type="dxa"/>
              <w:start w:w="90" w:type="dxa"/>
              <w:bottom w:w="70" w:type="dxa"/>
              <w:end w:w="90" w:type="dxa"/>
            </w:tcMar>
          </w:tcPr>
          <w:p>
            <w:r>
              <w:t>cdcu_ripple_psd.py / cdcu_ripple_analyzer.py</w:t>
            </w:r>
          </w:p>
        </w:tc>
        <w:tc>
          <w:tcPr>
            <w:tcW w:type="dxa" w:w="3408"/>
            <w:tcMar>
              <w:top w:w="70" w:type="dxa"/>
              <w:start w:w="90" w:type="dxa"/>
              <w:bottom w:w="70" w:type="dxa"/>
              <w:end w:w="90" w:type="dxa"/>
            </w:tcMar>
          </w:tcPr>
          <w:p>
            <w:r>
              <w:t>FFT, Welch PSD, cumulative RMS, frequency bands, significant components, ppm results.</w:t>
            </w:r>
          </w:p>
        </w:tc>
      </w:tr>
      <w:tr>
        <w:tc>
          <w:tcPr>
            <w:tcW w:type="dxa" w:w="3408"/>
            <w:tcMar>
              <w:top w:w="70" w:type="dxa"/>
              <w:start w:w="90" w:type="dxa"/>
              <w:bottom w:w="70" w:type="dxa"/>
              <w:end w:w="90" w:type="dxa"/>
            </w:tcMar>
          </w:tcPr>
          <w:p>
            <w:r>
              <w:t>Standalone PMM analysis</w:t>
            </w:r>
          </w:p>
        </w:tc>
        <w:tc>
          <w:tcPr>
            <w:tcW w:type="dxa" w:w="3408"/>
            <w:tcMar>
              <w:top w:w="70" w:type="dxa"/>
              <w:start w:w="90" w:type="dxa"/>
              <w:bottom w:w="70" w:type="dxa"/>
              <w:end w:w="90" w:type="dxa"/>
            </w:tcMar>
          </w:tcPr>
          <w:p>
            <w:r>
              <w:t>cdcu_pmm_fft.py</w:t>
            </w:r>
          </w:p>
        </w:tc>
        <w:tc>
          <w:tcPr>
            <w:tcW w:type="dxa" w:w="3408"/>
            <w:tcMar>
              <w:top w:w="70" w:type="dxa"/>
              <w:start w:w="90" w:type="dxa"/>
              <w:bottom w:w="70" w:type="dxa"/>
              <w:end w:w="90" w:type="dxa"/>
            </w:tcMar>
          </w:tcPr>
          <w:p>
            <w:r>
              <w:t>Re-analyzes any saved PMM CSV without reconnecting to the supply.</w:t>
            </w:r>
          </w:p>
        </w:tc>
      </w:tr>
      <w:tr>
        <w:tc>
          <w:tcPr>
            <w:tcW w:type="dxa" w:w="3408"/>
            <w:tcMar>
              <w:top w:w="70" w:type="dxa"/>
              <w:start w:w="90" w:type="dxa"/>
              <w:bottom w:w="70" w:type="dxa"/>
              <w:end w:w="90" w:type="dxa"/>
            </w:tcMar>
          </w:tcPr>
          <w:p>
            <w:r>
              <w:t>Reporting</w:t>
            </w:r>
          </w:p>
        </w:tc>
        <w:tc>
          <w:tcPr>
            <w:tcW w:type="dxa" w:w="3408"/>
            <w:tcMar>
              <w:top w:w="70" w:type="dxa"/>
              <w:start w:w="90" w:type="dxa"/>
              <w:bottom w:w="70" w:type="dxa"/>
              <w:end w:w="90" w:type="dxa"/>
            </w:tcMar>
          </w:tcPr>
          <w:p>
            <w:r>
              <w:t>cdcu_ripple_pdf.py / cdcu_ripple_io.py</w:t>
            </w:r>
          </w:p>
        </w:tc>
        <w:tc>
          <w:tcPr>
            <w:tcW w:type="dxa" w:w="3408"/>
            <w:tcMar>
              <w:top w:w="70" w:type="dxa"/>
              <w:start w:w="90" w:type="dxa"/>
              <w:bottom w:w="70" w:type="dxa"/>
              <w:end w:w="90" w:type="dxa"/>
            </w:tcMar>
          </w:tcPr>
          <w:p>
            <w:r>
              <w:t>Engineering plots, worksheets, metadata handling, and report generation.</w:t>
            </w:r>
          </w:p>
        </w:tc>
      </w:tr>
      <w:tr>
        <w:tc>
          <w:tcPr>
            <w:tcW w:type="dxa" w:w="3408"/>
            <w:tcMar>
              <w:top w:w="70" w:type="dxa"/>
              <w:start w:w="90" w:type="dxa"/>
              <w:bottom w:w="70" w:type="dxa"/>
              <w:end w:w="90" w:type="dxa"/>
            </w:tcMar>
          </w:tcPr>
          <w:p>
            <w:r>
              <w:t>Configuration</w:t>
            </w:r>
          </w:p>
        </w:tc>
        <w:tc>
          <w:tcPr>
            <w:tcW w:type="dxa" w:w="3408"/>
            <w:tcMar>
              <w:top w:w="70" w:type="dxa"/>
              <w:start w:w="90" w:type="dxa"/>
              <w:bottom w:w="70" w:type="dxa"/>
              <w:end w:w="90" w:type="dxa"/>
            </w:tcMar>
          </w:tcPr>
          <w:p>
            <w:r>
              <w:t>cdcu_load_map.py / load_map_with_magnetid.json</w:t>
            </w:r>
          </w:p>
        </w:tc>
        <w:tc>
          <w:tcPr>
            <w:tcW w:type="dxa" w:w="3408"/>
            <w:tcMar>
              <w:top w:w="70" w:type="dxa"/>
              <w:start w:w="90" w:type="dxa"/>
              <w:bottom w:w="70" w:type="dxa"/>
              <w:end w:w="90" w:type="dxa"/>
            </w:tcMar>
          </w:tcPr>
          <w:p>
            <w:r>
              <w:t>Resolves load identity, ratings, sector substitution, and per-unit efficiency baseline.</w:t>
            </w:r>
          </w:p>
        </w:tc>
      </w:tr>
      <w:tr>
        <w:tc>
          <w:tcPr>
            <w:tcW w:type="dxa" w:w="3408"/>
            <w:tcMar>
              <w:top w:w="70" w:type="dxa"/>
              <w:start w:w="90" w:type="dxa"/>
              <w:bottom w:w="70" w:type="dxa"/>
              <w:end w:w="90" w:type="dxa"/>
            </w:tcMar>
          </w:tcPr>
          <w:p>
            <w:r>
              <w:t>Multi-unit launch</w:t>
            </w:r>
          </w:p>
        </w:tc>
        <w:tc>
          <w:tcPr>
            <w:tcW w:type="dxa" w:w="3408"/>
            <w:tcMar>
              <w:top w:w="70" w:type="dxa"/>
              <w:start w:w="90" w:type="dxa"/>
              <w:bottom w:w="70" w:type="dxa"/>
              <w:end w:w="90" w:type="dxa"/>
            </w:tcMar>
          </w:tcPr>
          <w:p>
            <w:r>
              <w:t>one_liners.py</w:t>
            </w:r>
          </w:p>
        </w:tc>
        <w:tc>
          <w:tcPr>
            <w:tcW w:type="dxa" w:w="3408"/>
            <w:tcMar>
              <w:top w:w="70" w:type="dxa"/>
              <w:start w:w="90" w:type="dxa"/>
              <w:bottom w:w="70" w:type="dxa"/>
              <w:end w:w="90" w:type="dxa"/>
            </w:tcMar>
          </w:tcPr>
          <w:p>
            <w:r>
              <w:t>Starts one or several monitor processes from explicit IPs or cabinet selections.</w:t>
            </w:r>
          </w:p>
        </w:tc>
      </w:tr>
    </w:tbl>
    <w:p>
      <w:pPr>
        <w:pStyle w:val="Heading1"/>
      </w:pPr>
      <w:r>
        <w:t>4. Live Run Sequence</w:t>
      </w:r>
    </w:p>
    <w:p>
      <w:pPr>
        <w:pStyle w:val="ListNumber"/>
      </w:pPr>
      <w:r>
        <w:t>Parse command-line options and establish the output directory.</w:t>
      </w:r>
    </w:p>
    <w:p>
      <w:pPr>
        <w:pStyle w:val="ListNumber"/>
      </w:pPr>
      <w:r>
        <w:t>Resolve the cabinet/IP/sector entry from the load map. Read model, load description, magnet ID, ratings, and any eta_reference_pct override.</w:t>
      </w:r>
    </w:p>
    <w:p>
      <w:pPr>
        <w:pStyle w:val="ListNumber"/>
      </w:pPr>
      <w:r>
        <w:t>Open the CDCU TCP connection and read identity/configuration values required for the run.</w:t>
      </w:r>
    </w:p>
    <w:p>
      <w:pPr>
        <w:pStyle w:val="ListNumber"/>
      </w:pPr>
      <w:r>
        <w:t>Create and arm the PMM object, set the trigger position, and issue the initial software force.</w:t>
      </w:r>
    </w:p>
    <w:p>
      <w:pPr>
        <w:pStyle w:val="ListNumber"/>
      </w:pPr>
      <w:r>
        <w:t>Wait for PMM READY, fetch all available PMM channels, timestamp the capture, and save the PMM CSV.</w:t>
      </w:r>
    </w:p>
    <w:p>
      <w:pPr>
        <w:pStyle w:val="ListNumber"/>
      </w:pPr>
      <w:r>
        <w:t>Analyze the initial PMM immediately. The baseline FFT/PSD results exist before live polling begins.</w:t>
      </w:r>
    </w:p>
    <w:p>
      <w:pPr>
        <w:pStyle w:val="ListNumber"/>
      </w:pPr>
      <w:r>
        <w:t>Rearm PMM so the hardware can capture the first fault event.</w:t>
      </w:r>
    </w:p>
    <w:p>
      <w:pPr>
        <w:pStyle w:val="ListNumber"/>
      </w:pPr>
      <w:r>
        <w:t>Enter the live polling loop and acquire MRP, MGPC, MRV, MRI, MFTR, and supporting registers.</w:t>
      </w:r>
    </w:p>
    <w:p>
      <w:pPr>
        <w:pStyle w:val="ListNumber"/>
      </w:pPr>
      <w:r>
        <w:t>Calculate Pin, Pout, raw efficiency, output load fraction, steady-state status, expected input current, IBUS error, power loss, and ppm equivalents.</w:t>
      </w:r>
    </w:p>
    <w:p>
      <w:pPr>
        <w:pStyle w:val="ListNumber"/>
      </w:pPr>
      <w:r>
        <w:t>Append newly observed fault names to the fault cascade in the order they first appear.</w:t>
      </w:r>
    </w:p>
    <w:p>
      <w:pPr>
        <w:pStyle w:val="ListNumber"/>
      </w:pPr>
      <w:r>
        <w:t>When a new fault stage is observed, check PMM READY. If the capture is ready, fetch it, save it, analyze it immediately, and include the current fault cascade in the report.</w:t>
      </w:r>
    </w:p>
    <w:p>
      <w:pPr>
        <w:pStyle w:val="ListNumber"/>
      </w:pPr>
      <w:r>
        <w:t>Rearm PMM immediately after the fault capture so a later fault stage can generate another PMM witness.</w:t>
      </w:r>
    </w:p>
    <w:p>
      <w:pPr>
        <w:pStyle w:val="ListNumber"/>
      </w:pPr>
      <w:r>
        <w:t>Continue live logging until the requested duration ends.</w:t>
      </w:r>
    </w:p>
    <w:p>
      <w:pPr>
        <w:pStyle w:val="ListNumber"/>
      </w:pPr>
      <w:r>
        <w:t>Immediately before the live-polling timeout, force the final PMM. After polling stops, wait for the PMM record to complete, save it, and analyze it immediately. Finalize the live diagnostics and report package after the startup, fault, and final PMM witnesses are preserved.</w:t>
      </w:r>
    </w:p>
    <w:p>
      <w:pPr>
        <w:pStyle w:val="Heading1"/>
      </w:pPr>
      <w:r>
        <w:t>5. PMM and Fault-Cascade Sequence</w:t>
      </w:r>
    </w:p>
    <w:p>
      <w:pPr>
        <w:spacing w:before="60" w:after="60"/>
        <w:ind w:left="360"/>
      </w:pPr>
      <w:r>
        <w:t>RUN START</w:t>
        <w:br/>
        <w:t xml:space="preserve">   |</w:t>
        <w:br/>
        <w:t xml:space="preserve">   +--&gt; PMM RESET / ARM</w:t>
        <w:br/>
        <w:t xml:space="preserve">   |        |</w:t>
        <w:br/>
        <w:t xml:space="preserve">   |        +--&gt; PMM FORCE (startup)</w:t>
        <w:br/>
        <w:t xml:space="preserve">   |                 |</w:t>
        <w:br/>
        <w:t xml:space="preserve">   |                 +--&gt; READY --&gt; FETCH --&gt; SAVE CSV --&gt; ANALYZE FFT/PSD NOW</w:t>
        <w:br/>
        <w:t xml:space="preserve">   |                                             |</w:t>
        <w:br/>
        <w:t xml:space="preserve">   |                                             +--&gt; STARTUP PMM</w:t>
        <w:br/>
        <w:t xml:space="preserve">   |</w:t>
        <w:br/>
        <w:t xml:space="preserve">   +--&gt; PMM REARM</w:t>
        <w:br/>
        <w:t xml:space="preserve">   |</w:t>
        <w:br/>
        <w:t xml:space="preserve">   +--&gt; LIVE POLLING  [no FFT/PSD on polling samples]</w:t>
        <w:br/>
        <w:t xml:space="preserve">             |</w:t>
        <w:br/>
        <w:t xml:space="preserve">             +--&gt; NEW FAULT BIT(S)? -- no --&gt; continue polling</w:t>
        <w:br/>
        <w:t xml:space="preserve">             |</w:t>
        <w:br/>
        <w:t xml:space="preserve">            yes</w:t>
        <w:br/>
        <w:t xml:space="preserve">             |</w:t>
        <w:br/>
        <w:t xml:space="preserve">             +--&gt; append only new fault names to ordered cascade</w:t>
        <w:br/>
        <w:t xml:space="preserve">             |</w:t>
        <w:br/>
        <w:t xml:space="preserve">             +--&gt; PMM READY? --&gt; FETCH --&gt; SAVE --&gt; ANALYZE FFT/PSD NOW</w:t>
        <w:br/>
        <w:t xml:space="preserve">             |                               |</w:t>
        <w:br/>
        <w:t xml:space="preserve">             |                               +--&gt; FAULT OCCURRED: YES</w:t>
        <w:br/>
        <w:t xml:space="preserve">             |                               +--&gt; cascade 1 -&gt; 2 -&gt; 3 ...</w:t>
        <w:br/>
        <w:t xml:space="preserve">             |</w:t>
        <w:br/>
        <w:t xml:space="preserve">             +--&gt; PMM REARM --&gt; continue polling</w:t>
        <w:br/>
        <w:t xml:space="preserve">             |</w:t>
        <w:br/>
        <w:t xml:space="preserve">             +--&gt; near polling timeout --&gt; PMM FORCE (final)</w:t>
        <w:br/>
        <w:t xml:space="preserve">                                      |</w:t>
        <w:br/>
        <w:t xml:space="preserve">                                      +--&gt; polling ends</w:t>
        <w:br/>
        <w:t xml:space="preserve">                                      |</w:t>
        <w:br/>
        <w:t xml:space="preserve">                                      +--&gt; READY --&gt; FETCH --&gt; SAVE --&gt; ANALYZE FFT/PSD NOW</w:t>
        <w:br/>
        <w:t xml:space="preserve">                                                                  |</w:t>
        <w:br/>
        <w:t xml:space="preserve">                                                                  +--&gt; FINAL PMM</w:t>
      </w:r>
    </w:p>
    <w:p>
      <w:r>
        <w:t>I treat the cascade as a sequence, not a bag of fault names. If Input Over-Current appears first and an HW Fault appears later, the report keeps that order. That distinction matters when the final shutdown state contains several bits that did not assert at the same instant.</w:t>
      </w:r>
    </w:p>
    <w:p>
      <w:pPr>
        <w:pStyle w:val="Heading1"/>
      </w:pPr>
      <w:r>
        <w:t>6. Engineering Diagnostic Logic</w:t>
      </w:r>
    </w:p>
    <w:p>
      <w:pPr>
        <w:pStyle w:val="Heading2"/>
      </w:pPr>
      <w:r>
        <w:t>6.1 Power balance</w:t>
      </w:r>
    </w:p>
    <w:p>
      <w:pPr>
        <w:spacing w:before="60" w:after="60"/>
        <w:ind w:left="360"/>
      </w:pPr>
      <w:r>
        <w:rPr>
          <w:rFonts w:ascii="Consolas" w:hAnsi="Consolas"/>
          <w:sz w:val="17"/>
        </w:rPr>
        <w:t>Pin  = |Vbus x Ibus|</w:t>
        <w:br/>
      </w:r>
      <w:r>
        <w:rPr>
          <w:rFonts w:ascii="Consolas" w:hAnsi="Consolas"/>
          <w:sz w:val="17"/>
        </w:rPr>
        <w:t>Pout = |Vout x Iout|</w:t>
        <w:br/>
      </w:r>
      <w:r>
        <w:rPr>
          <w:rFonts w:ascii="Consolas" w:hAnsi="Consolas"/>
          <w:sz w:val="17"/>
        </w:rPr>
        <w:t>Efficiency (%) = 100 x Pout / Pin</w:t>
        <w:br/>
      </w:r>
    </w:p>
    <w:p>
      <w:r>
        <w:t>Raw efficiency is preserved. A display copy may be clipped for plotting, but the underlying value remains available because an apparent value above 100% can expose sequential-sampling or transient-energy effects rather than a real conversion efficiency.</w:t>
      </w:r>
    </w:p>
    <w:p>
      <w:pPr>
        <w:pStyle w:val="Heading2"/>
      </w:pPr>
      <w:r>
        <w:t>6.2 Expected DC-bus current</w:t>
      </w:r>
    </w:p>
    <w:p>
      <w:pPr>
        <w:spacing w:before="60" w:after="60"/>
        <w:ind w:left="360"/>
      </w:pPr>
      <w:r>
        <w:rPr>
          <w:rFonts w:ascii="Consolas" w:hAnsi="Consolas"/>
          <w:sz w:val="17"/>
        </w:rPr>
        <w:t>Ibus_expected = Pout / (Vbus x eta_reference)</w:t>
        <w:br/>
      </w:r>
      <w:r>
        <w:rPr>
          <w:rFonts w:ascii="Consolas" w:hAnsi="Consolas"/>
          <w:sz w:val="17"/>
        </w:rPr>
        <w:t>IBUS_delta_A   = Ibus_measured - Ibus_expected</w:t>
        <w:br/>
      </w:r>
      <w:r>
        <w:rPr>
          <w:rFonts w:ascii="Consolas" w:hAnsi="Consolas"/>
          <w:sz w:val="17"/>
        </w:rPr>
        <w:t>IBUS_error (%) = 100 x IBUS_delta_A / Ibus_expected</w:t>
        <w:br/>
      </w:r>
      <w:r>
        <w:rPr>
          <w:rFonts w:ascii="Consolas" w:hAnsi="Consolas"/>
          <w:sz w:val="17"/>
        </w:rPr>
        <w:t>IBUS_error ppm = IBUS_error (%) x 10,000</w:t>
        <w:br/>
      </w:r>
    </w:p>
    <w:p>
      <w:r>
        <w:t>The current residual is the same power-balance deviation expressed in the current domain. It is useful because a statement such as “+18 A, +10.5%, +105,000 ppm above expected input current” is immediately actionable during a comparison between a suspect unit and a known-good replacement. It is not independent of measured efficiency.</w:t>
      </w:r>
    </w:p>
    <w:p>
      <w:pPr>
        <w:pStyle w:val="Heading2"/>
      </w:pPr>
      <w:r>
        <w:t>6.3 Efficiency reference priority</w:t>
      </w:r>
    </w:p>
    <w:p>
      <w:pPr>
        <w:pStyle w:val="ListNumber"/>
      </w:pPr>
      <w:r>
        <w:t>Use the unit-specific eta_reference_pct from the load map when a known-good baseline exists.</w:t>
      </w:r>
    </w:p>
    <w:p>
      <w:pPr>
        <w:pStyle w:val="ListNumber"/>
      </w:pPr>
      <w:r>
        <w:t>Otherwise use the configured empirical model baseline, if one has been established.</w:t>
      </w:r>
    </w:p>
    <w:p>
      <w:pPr>
        <w:pStyle w:val="ListNumber"/>
      </w:pPr>
      <w:r>
        <w:t>Use the CAEN full-load minimum only as the fallback reference.</w:t>
      </w:r>
    </w:p>
    <w:p>
      <w:r>
        <w:t>The output records eta_reference_source so I can tell whether a result came from a unit baseline, a model baseline, or the manufacturer minimum.</w:t>
      </w:r>
    </w:p>
    <w:p>
      <w:pPr>
        <w:pStyle w:val="Heading2"/>
      </w:pPr>
      <w:r>
        <w:t>6.4 Steady-state and load gating</w:t>
      </w:r>
    </w:p>
    <w:p>
      <w:r>
        <w:t>Full-load efficiency limits do not belong on a low-power operating point. The toolkit first determines whether output current is on a stable plateau and whether output power exceeds the general diagnostic load gate, default 25% of rated power. That gate permits baseline comparison only. CAEN full-load efficiency compliance is evaluated separately and only near rated full load; the current engineering gate is 95% of rated output power.</w:t>
      </w:r>
    </w:p>
    <w:p>
      <w:r>
        <w:t>Dynamic power-balance calculations are de-emphasized during ramps because MRP, MGPC, MRV, and MRI are sequentially polled and stored energy is moving through the converter and magnet. MRV already contains the inductive contribution at the output terminals; the issue is measurement timing and dynamic energy exchange, not a missing L·dI/dt term in the measured output-power equation.</w:t>
      </w:r>
    </w:p>
    <w:p>
      <w:pPr>
        <w:pStyle w:val="Heading1"/>
      </w:pPr>
      <w:r>
        <w:t>7. Percent and ppm Reporting</w:t>
      </w:r>
    </w:p>
    <w:p>
      <w:r>
        <w:t>For relative engineering metrics, the toolkit reports both forms when ppm improves readability in the accelerator environment.</w:t>
      </w:r>
    </w:p>
    <w:p>
      <w:pPr>
        <w:spacing w:before="60" w:after="60"/>
        <w:ind w:left="360"/>
      </w:pPr>
      <w:r>
        <w:rPr>
          <w:rFonts w:ascii="Consolas" w:hAnsi="Consolas"/>
          <w:sz w:val="17"/>
        </w:rPr>
        <w:t>1 % = 10,000 ppm</w:t>
        <w:br/>
      </w:r>
      <w:r>
        <w:rPr>
          <w:rFonts w:ascii="Consolas" w:hAnsi="Consolas"/>
          <w:sz w:val="17"/>
        </w:rPr>
        <w:t>0.10 % = 1,000 ppm</w:t>
        <w:br/>
      </w:r>
      <w:r>
        <w:rPr>
          <w:rFonts w:ascii="Consolas" w:hAnsi="Consolas"/>
          <w:sz w:val="17"/>
        </w:rPr>
        <w:t>0.01 % = 100 ppm</w:t>
        <w:br/>
      </w:r>
      <w:r>
        <w:rPr>
          <w:rFonts w:ascii="Consolas" w:hAnsi="Consolas"/>
          <w:sz w:val="17"/>
        </w:rPr>
        <w:t>2.80 % = 28,000 ppm</w:t>
        <w:br/>
      </w:r>
    </w:p>
    <w:p>
      <w:r>
        <w:t>I do not use ppm to disguise scale. A 5% efficiency problem is still a 5% efficiency problem; reporting 50,000 ppm beside it simply gives the same ratio in the unit commonly used for stability and precision work.</w:t>
      </w:r>
    </w:p>
    <w:p>
      <w:pPr>
        <w:pStyle w:val="Heading1"/>
      </w:pPr>
      <w:r>
        <w:t>8. Standalone PMM FFT/PSD Workflow</w:t>
      </w:r>
    </w:p>
    <w:p>
      <w:r>
        <w:t>A saved PMM file should remain useful after the live connection is gone. cdcu_pmm_fft.py provides that path. It reads the PMM time axis and available vout_V, iout_A, and iset_A channels, verifies the hardware-timed sample spacing, and then performs FFT, Welch PSD, integrated-band RMS, ppm/FS, and Parseval checks. Live-polling CSV files are not accepted as the spectral source.</w:t>
      </w:r>
    </w:p>
    <w:p>
      <w:pPr>
        <w:spacing w:before="60" w:after="60"/>
        <w:ind w:left="360"/>
      </w:pPr>
      <w:r>
        <w:rPr>
          <w:rFonts w:ascii="Consolas" w:hAnsi="Consolas"/>
          <w:sz w:val="17"/>
        </w:rPr>
        <w:t>python3 cdcu_pmm_fft.py --csv ./run/pmm_captures/S28A_Q4_initial_pmm.csv</w:t>
        <w:br/>
      </w:r>
    </w:p>
    <w:p>
      <w:r>
        <w:t>To analyze only output current:</w:t>
      </w:r>
    </w:p>
    <w:p>
      <w:pPr>
        <w:spacing w:before="60" w:after="60"/>
        <w:ind w:left="360"/>
      </w:pPr>
      <w:r>
        <w:rPr>
          <w:rFonts w:ascii="Consolas" w:hAnsi="Consolas"/>
          <w:sz w:val="17"/>
        </w:rPr>
        <w:t>python3 cdcu_pmm_fft.py --csv ./run/fault_events/S28A_Q4_fault01.csv --channels iout_A</w:t>
        <w:br/>
      </w:r>
    </w:p>
    <w:p>
      <w:r>
        <w:t>Recommended PMM full-scale reference selection:</w:t>
      </w:r>
    </w:p>
    <w:p>
      <w:pPr>
        <w:spacing w:before="60" w:after="60"/>
        <w:ind w:left="360"/>
      </w:pPr>
      <w:r>
        <w:rPr>
          <w:rFonts w:ascii="Consolas" w:hAnsi="Consolas"/>
          <w:sz w:val="17"/>
        </w:rPr>
        <w:t>python3 cdcu_pmm_fft.py --csv ./run/fault_events/S28A_Q4_fault01.csv --iout-ref 300 --iset-ref 300 --vout-ref 45</w:t>
        <w:br/>
      </w:r>
    </w:p>
    <w:p>
      <w:pPr>
        <w:pStyle w:val="ListBullet"/>
      </w:pPr>
      <w:r>
        <w:t>FFT: single-sided RMS spectrum used to identify discrete components.</w:t>
      </w:r>
    </w:p>
    <w:p>
      <w:pPr>
        <w:pStyle w:val="ListBullet"/>
      </w:pPr>
      <w:r>
        <w:t>PSD: Welch power spectral density used to show how ripple power is distributed with frequency.</w:t>
      </w:r>
    </w:p>
    <w:p>
      <w:pPr>
        <w:pStyle w:val="ListBullet"/>
      </w:pPr>
      <w:r>
        <w:t>Integrated RMS: cumulative spectral power converted back to RMS amplitude.</w:t>
      </w:r>
    </w:p>
    <w:p>
      <w:pPr>
        <w:pStyle w:val="ListBullet"/>
      </w:pPr>
      <w:r>
        <w:t>Frequency bands: the same engineering band definitions used by the live analysis.</w:t>
      </w:r>
    </w:p>
    <w:p>
      <w:pPr>
        <w:pStyle w:val="ListBullet"/>
      </w:pPr>
      <w:r>
        <w:t>ppm: for PMM output current, setpoint current, and output voltage, the model rating is used as full scale when --model is supplied. An explicit reference overrides the model rating. If neither is available, the channel DC mean is used and the result is labeled ppm of operating point, not ppm/FS.</w:t>
      </w:r>
    </w:p>
    <w:p>
      <w:pPr>
        <w:pStyle w:val="Heading2"/>
      </w:pPr>
      <w:r>
        <w:t>8.1 Primary FFT Graphic</w:t>
      </w:r>
    </w:p>
    <w:p>
      <w:pPr/>
      <w:r>
        <w:t>The primary FFT is intentionally a first-look troubleshooting graphic. It uses a linear frequency axis and a filled magnitude spectrum. I want the harmonic spacing and dominant components to be obvious without asking the reader to interpret a log-frequency display first. The PSD and cumulative integrated-ripple plots remain the deeper analysis tools.</w:t>
      </w:r>
    </w:p>
    <w:p>
      <w:pPr/>
      <w:r>
        <w:t>The FFT summary box reports the DC reference, total ripple RMS, the same ripple expressed in percent and ppm, the dominant integrated frequency band, and the strongest discrete components. The frequency-band calculation itself is still based on integrated PSD; the filled FFT is the visual front end, not a replacement for PSD integration.</w:t>
      </w:r>
    </w:p>
    <w:p>
      <w:pPr/>
      <w:r>
        <w:t>Default physical-magnitude view:</w:t>
      </w:r>
    </w:p>
    <w:p>
      <w:pPr/>
      <w:r>
        <w:t>python3 cdcu_pmm_fft.py --csv ./fault.csv --channels iout_A --iout-ref 300 --fft-y magnitude</w:t>
      </w:r>
    </w:p>
    <w:p>
      <w:pPr/>
      <w:r>
        <w:t>Percent view:</w:t>
      </w:r>
    </w:p>
    <w:p>
      <w:pPr/>
      <w:r>
        <w:t>python3 cdcu_pmm_fft.py --csv ./fault.csv --channels iout_A --iout-ref 300 --fft-y percent</w:t>
      </w:r>
    </w:p>
    <w:p>
      <w:pPr/>
      <w:r>
        <w:t>ppm view:</w:t>
      </w:r>
    </w:p>
    <w:p>
      <w:pPr/>
      <w:r>
        <w:t>python3 cdcu_pmm_fft.py --csv ./fault.csv --channels iout_A --iout-ref 300 --fft-y ppm</w:t>
      </w:r>
    </w:p>
    <w:p>
      <w:pPr/>
      <w:r>
        <w:t>Use a documented denominator for every percent or ppm value. For PMM output current and setpoint current, use rated current when reporting ppm/FS; for output voltage use rated output voltage. If the operating-point mean is used instead, label the result ppm of operating point. Do not mix the two conventions.</w:t>
      </w:r>
    </w:p>
    <w:p>
      <w:pPr>
        <w:pStyle w:val="Heading1"/>
      </w:pPr>
      <w:r>
        <w:t>9. Module-by-Module Reference</w:t>
      </w:r>
    </w:p>
    <w:p>
      <w:pPr>
        <w:pStyle w:val="Heading2"/>
      </w:pPr>
      <w:r>
        <w:t>cdcu_monitor.py</w:t>
      </w:r>
    </w:p>
    <w:p>
      <w:r>
        <w:t>Owns the live run. This is the orchestration layer; it should remain focused on communication, sequencing, logging, PMM handling, and calling reusable diagnostics.</w:t>
      </w:r>
    </w:p>
    <w:p>
      <w:pPr>
        <w:pStyle w:val="Heading2"/>
      </w:pPr>
      <w:r>
        <w:t>cdcu_diagnostics.py</w:t>
      </w:r>
    </w:p>
    <w:p>
      <w:r>
        <w:t>Holds calculations and decision rules that should be testable without a power supply or socket connection.</w:t>
      </w:r>
    </w:p>
    <w:p>
      <w:pPr>
        <w:pStyle w:val="Heading2"/>
      </w:pPr>
      <w:r>
        <w:t>cdcu_pmm.py</w:t>
      </w:r>
    </w:p>
    <w:p>
      <w:r>
        <w:t>Implements the CAEN PMM protocol and keeps the large waveform transfer separate from the live monitor logic.</w:t>
      </w:r>
    </w:p>
    <w:p>
      <w:pPr>
        <w:pStyle w:val="Heading2"/>
      </w:pPr>
      <w:r>
        <w:t>cdcu_pmm_fft.py</w:t>
      </w:r>
    </w:p>
    <w:p>
      <w:r>
        <w:t>Provides a direct PMM-file-to-FFT/PSD path for bench review, archived captures, and post-fault analysis.</w:t>
      </w:r>
    </w:p>
    <w:p>
      <w:pPr>
        <w:pStyle w:val="Heading2"/>
      </w:pPr>
      <w:r>
        <w:t>cdcu_registers.py</w:t>
      </w:r>
    </w:p>
    <w:p>
      <w:r>
        <w:t>Converts hexadecimal status/fault registers into readable engineering names. The monitor uses these names to build the ordered cascade.</w:t>
      </w:r>
    </w:p>
    <w:p>
      <w:pPr>
        <w:pStyle w:val="Heading2"/>
      </w:pPr>
      <w:r>
        <w:t>cdcu_ripple_psd.py</w:t>
      </w:r>
    </w:p>
    <w:p>
      <w:r>
        <w:t>Contains the PMM spectral math and plotting routines. This is the analytical engine used only with hardware-timed PMM waveform data.</w:t>
      </w:r>
    </w:p>
    <w:p>
      <w:pPr>
        <w:pStyle w:val="Heading2"/>
      </w:pPr>
      <w:r>
        <w:t>cdcu_ripple_analyzer.py</w:t>
      </w:r>
    </w:p>
    <w:p>
      <w:r>
        <w:t>Reads a completed monitor CSV and runs the post-run ripple analysis across the available live-monitor channels.</w:t>
      </w:r>
    </w:p>
    <w:p>
      <w:pPr>
        <w:pStyle w:val="Heading2"/>
      </w:pPr>
      <w:r>
        <w:t>cdcu_ripple_pdf.py</w:t>
      </w:r>
    </w:p>
    <w:p>
      <w:r>
        <w:t>Assembles plots, metadata, diagnostics, and PMM results into formatted engineering reports.</w:t>
      </w:r>
    </w:p>
    <w:p>
      <w:pPr>
        <w:pStyle w:val="Heading2"/>
      </w:pPr>
      <w:r>
        <w:t>cdcu_ripple_io.py</w:t>
      </w:r>
    </w:p>
    <w:p>
      <w:r>
        <w:t>Keeps metadata-aware CSV input/output separate from the analysis math.</w:t>
      </w:r>
    </w:p>
    <w:p>
      <w:pPr>
        <w:pStyle w:val="Heading2"/>
      </w:pPr>
      <w:r>
        <w:t>cdcu_load_map.py</w:t>
      </w:r>
    </w:p>
    <w:p>
      <w:r>
        <w:t>Resolves site context without hard-coding cabinet/magnet details in the monitor.</w:t>
      </w:r>
    </w:p>
    <w:p>
      <w:pPr>
        <w:pStyle w:val="Heading2"/>
      </w:pPr>
      <w:r>
        <w:t>one_liners.py</w:t>
      </w:r>
    </w:p>
    <w:p>
      <w:r>
        <w:t>Provides repeatable launching for one or multiple units and keeps command construction in one place.</w:t>
      </w:r>
    </w:p>
    <w:p>
      <w:pPr>
        <w:pStyle w:val="Heading1"/>
      </w:pPr>
      <w:r>
        <w:t>10. Function Catalog</w:t>
      </w:r>
    </w:p>
    <w:p>
      <w:r>
        <w:t>The Python source contains statement-level comments inside the functions. This section is the higher-level map: what each callable owns and where it sits in the sequence.</w:t>
      </w:r>
    </w:p>
    <w:p>
      <w:pPr>
        <w:pStyle w:val="Heading2"/>
      </w:pPr>
      <w:r>
        <w:t>cdcu_diagnostics.py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_is_bad</w:t>
            </w:r>
          </w:p>
        </w:tc>
        <w:tc>
          <w:tcPr>
            <w:tcW w:type="dxa" w:w="5112"/>
            <w:vAlign w:val="top"/>
            <w:tcMar>
              <w:top w:w="70" w:type="dxa"/>
              <w:start w:w="90" w:type="dxa"/>
              <w:bottom w:w="70" w:type="dxa"/>
              <w:end w:w="90" w:type="dxa"/>
            </w:tcMar>
          </w:tcPr>
          <w:p>
            <w:r>
              <w:t>Validates that a value can be used in engineering calculations.</w:t>
            </w:r>
          </w:p>
        </w:tc>
      </w:tr>
      <w:tr>
        <w:tc>
          <w:tcPr>
            <w:tcW w:type="dxa" w:w="5112"/>
            <w:vAlign w:val="top"/>
            <w:tcMar>
              <w:top w:w="70" w:type="dxa"/>
              <w:start w:w="90" w:type="dxa"/>
              <w:bottom w:w="70" w:type="dxa"/>
              <w:end w:w="90" w:type="dxa"/>
            </w:tcMar>
          </w:tcPr>
          <w:p>
            <w:r>
              <w:t>percent_to_ppm</w:t>
            </w:r>
          </w:p>
        </w:tc>
        <w:tc>
          <w:tcPr>
            <w:tcW w:type="dxa" w:w="5112"/>
            <w:vAlign w:val="top"/>
            <w:tcMar>
              <w:top w:w="70" w:type="dxa"/>
              <w:start w:w="90" w:type="dxa"/>
              <w:bottom w:w="70" w:type="dxa"/>
              <w:end w:w="90" w:type="dxa"/>
            </w:tcMar>
          </w:tcPr>
          <w:p>
            <w:r>
              <w:t>Convert percent to ppm: 1% = 10,000 ppm.</w:t>
            </w:r>
          </w:p>
        </w:tc>
      </w:tr>
      <w:tr>
        <w:tc>
          <w:tcPr>
            <w:tcW w:type="dxa" w:w="5112"/>
            <w:vAlign w:val="top"/>
            <w:tcMar>
              <w:top w:w="70" w:type="dxa"/>
              <w:start w:w="90" w:type="dxa"/>
              <w:bottom w:w="70" w:type="dxa"/>
              <w:end w:w="90" w:type="dxa"/>
            </w:tcMar>
          </w:tcPr>
          <w:p>
            <w:r>
              <w:t>get_model_spec</w:t>
            </w:r>
          </w:p>
        </w:tc>
        <w:tc>
          <w:tcPr>
            <w:tcW w:type="dxa" w:w="5112"/>
            <w:vAlign w:val="top"/>
            <w:tcMar>
              <w:top w:w="70" w:type="dxa"/>
              <w:start w:w="90" w:type="dxa"/>
              <w:bottom w:w="70" w:type="dxa"/>
              <w:end w:w="90" w:type="dxa"/>
            </w:tcMar>
          </w:tcPr>
          <w:p>
            <w:r>
              <w:t>Returns the CAEN model rating and full-load efficiency floor.</w:t>
            </w:r>
          </w:p>
        </w:tc>
      </w:tr>
      <w:tr>
        <w:tc>
          <w:tcPr>
            <w:tcW w:type="dxa" w:w="5112"/>
            <w:vAlign w:val="top"/>
            <w:tcMar>
              <w:top w:w="70" w:type="dxa"/>
              <w:start w:w="90" w:type="dxa"/>
              <w:bottom w:w="70" w:type="dxa"/>
              <w:end w:w="90" w:type="dxa"/>
            </w:tcMar>
          </w:tcPr>
          <w:p>
            <w:r>
              <w:t>eta_reference_for_model</w:t>
            </w:r>
          </w:p>
        </w:tc>
        <w:tc>
          <w:tcPr>
            <w:tcW w:type="dxa" w:w="5112"/>
            <w:vAlign w:val="top"/>
            <w:tcMar>
              <w:top w:w="70" w:type="dxa"/>
              <w:start w:w="90" w:type="dxa"/>
              <w:bottom w:w="70" w:type="dxa"/>
              <w:end w:w="90" w:type="dxa"/>
            </w:tcMar>
          </w:tcPr>
          <w:p>
            <w:r>
              <w:t>Expected efficiency baseline with provenance handled by eta_reference_details().</w:t>
            </w:r>
          </w:p>
        </w:tc>
      </w:tr>
      <w:tr>
        <w:tc>
          <w:tcPr>
            <w:tcW w:type="dxa" w:w="5112"/>
            <w:vAlign w:val="top"/>
            <w:tcMar>
              <w:top w:w="70" w:type="dxa"/>
              <w:start w:w="90" w:type="dxa"/>
              <w:bottom w:w="70" w:type="dxa"/>
              <w:end w:w="90" w:type="dxa"/>
            </w:tcMar>
          </w:tcPr>
          <w:p>
            <w:r>
              <w:t>eta_reference_details</w:t>
            </w:r>
          </w:p>
        </w:tc>
        <w:tc>
          <w:tcPr>
            <w:tcW w:type="dxa" w:w="5112"/>
            <w:vAlign w:val="top"/>
            <w:tcMar>
              <w:top w:w="70" w:type="dxa"/>
              <w:start w:w="90" w:type="dxa"/>
              <w:bottom w:w="70" w:type="dxa"/>
              <w:end w:w="90" w:type="dxa"/>
            </w:tcMar>
          </w:tcPr>
          <w:p>
            <w:r>
              <w:t>Resolves the baseline and records where that baseline came from.</w:t>
            </w:r>
          </w:p>
        </w:tc>
      </w:tr>
      <w:tr>
        <w:tc>
          <w:tcPr>
            <w:tcW w:type="dxa" w:w="5112"/>
            <w:vAlign w:val="top"/>
            <w:tcMar>
              <w:top w:w="70" w:type="dxa"/>
              <w:start w:w="90" w:type="dxa"/>
              <w:bottom w:w="70" w:type="dxa"/>
              <w:end w:w="90" w:type="dxa"/>
            </w:tcMar>
          </w:tcPr>
          <w:p>
            <w:r>
              <w:t>investigate_threshold_for_model</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calculate_power</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calculate_efficiency_percent</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expected_input_current</w:t>
            </w:r>
          </w:p>
        </w:tc>
        <w:tc>
          <w:tcPr>
            <w:tcW w:type="dxa" w:w="5112"/>
            <w:vAlign w:val="top"/>
            <w:tcMar>
              <w:top w:w="70" w:type="dxa"/>
              <w:start w:w="90" w:type="dxa"/>
              <w:bottom w:w="70" w:type="dxa"/>
              <w:end w:w="90" w:type="dxa"/>
            </w:tcMar>
          </w:tcPr>
          <w:p>
            <w:r>
              <w:t>Calculates the input current expected from output power, bus voltage, and reference efficiency.</w:t>
            </w:r>
          </w:p>
        </w:tc>
      </w:tr>
      <w:tr>
        <w:tc>
          <w:tcPr>
            <w:tcW w:type="dxa" w:w="5112"/>
            <w:vAlign w:val="top"/>
            <w:tcMar>
              <w:top w:w="70" w:type="dxa"/>
              <w:start w:w="90" w:type="dxa"/>
              <w:bottom w:w="70" w:type="dxa"/>
              <w:end w:w="90" w:type="dxa"/>
            </w:tcMar>
          </w:tcPr>
          <w:p>
            <w:r>
              <w:t>bus_current_percent_error</w:t>
            </w:r>
          </w:p>
        </w:tc>
        <w:tc>
          <w:tcPr>
            <w:tcW w:type="dxa" w:w="5112"/>
            <w:vAlign w:val="top"/>
            <w:tcMar>
              <w:top w:w="70" w:type="dxa"/>
              <w:start w:w="90" w:type="dxa"/>
              <w:bottom w:w="70" w:type="dxa"/>
              <w:end w:w="90" w:type="dxa"/>
            </w:tcMar>
          </w:tcPr>
          <w:p>
            <w:r>
              <w:t>Compares measured DC-bus current to the calculated expected current.</w:t>
            </w:r>
          </w:p>
        </w:tc>
      </w:tr>
      <w:tr>
        <w:tc>
          <w:tcPr>
            <w:tcW w:type="dxa" w:w="5112"/>
            <w:vAlign w:val="top"/>
            <w:tcMar>
              <w:top w:w="70" w:type="dxa"/>
              <w:start w:w="90" w:type="dxa"/>
              <w:bottom w:w="70" w:type="dxa"/>
              <w:end w:w="90" w:type="dxa"/>
            </w:tcMar>
          </w:tcPr>
          <w:p>
            <w:r>
              <w:t>calculate_load_fraction</w:t>
            </w:r>
          </w:p>
        </w:tc>
        <w:tc>
          <w:tcPr>
            <w:tcW w:type="dxa" w:w="5112"/>
            <w:vAlign w:val="top"/>
            <w:tcMar>
              <w:top w:w="70" w:type="dxa"/>
              <w:start w:w="90" w:type="dxa"/>
              <w:bottom w:w="70" w:type="dxa"/>
              <w:end w:w="90" w:type="dxa"/>
            </w:tcMar>
          </w:tcPr>
          <w:p>
            <w:r>
              <w:t>Normalizes output power to the model nameplate rating.</w:t>
            </w:r>
          </w:p>
        </w:tc>
      </w:tr>
      <w:tr>
        <w:tc>
          <w:tcPr>
            <w:tcW w:type="dxa" w:w="5112"/>
            <w:vAlign w:val="top"/>
            <w:tcMar>
              <w:top w:w="70" w:type="dxa"/>
              <w:start w:w="90" w:type="dxa"/>
              <w:bottom w:w="70" w:type="dxa"/>
              <w:end w:w="90" w:type="dxa"/>
            </w:tcMar>
          </w:tcPr>
          <w:p>
            <w:r>
              <w:t>substantial_load</w:t>
            </w:r>
          </w:p>
        </w:tc>
        <w:tc>
          <w:tcPr>
            <w:tcW w:type="dxa" w:w="5112"/>
            <w:vAlign w:val="top"/>
            <w:tcMar>
              <w:top w:w="70" w:type="dxa"/>
              <w:start w:w="90" w:type="dxa"/>
              <w:bottom w:w="70" w:type="dxa"/>
              <w:end w:w="90" w:type="dxa"/>
            </w:tcMar>
          </w:tcPr>
          <w:p>
            <w:r>
              <w:t>Applies the general minimum-load gate used for steady-state baseline diagnostics; this is not the CAEN full-load compliance gate.</w:t>
            </w:r>
          </w:p>
        </w:tc>
      </w:tr>
      <w:tr>
        <w:tc>
          <w:tcPr>
            <w:tcW w:type="dxa" w:w="5112"/>
            <w:vAlign w:val="top"/>
            <w:tcMar>
              <w:top w:w="70" w:type="dxa"/>
              <w:start w:w="90" w:type="dxa"/>
              <w:bottom w:w="70" w:type="dxa"/>
              <w:end w:w="90" w:type="dxa"/>
            </w:tcMar>
          </w:tcPr>
          <w:p>
            <w:r>
              <w:t>efficiency_health</w:t>
            </w:r>
          </w:p>
        </w:tc>
        <w:tc>
          <w:tcPr>
            <w:tcW w:type="dxa" w:w="5112"/>
            <w:vAlign w:val="top"/>
            <w:tcMar>
              <w:top w:w="70" w:type="dxa"/>
              <w:start w:w="90" w:type="dxa"/>
              <w:bottom w:w="70" w:type="dxa"/>
              <w:end w:w="90" w:type="dxa"/>
            </w:tcMar>
          </w:tcPr>
          <w:p>
            <w:r>
              <w:t>Compares measured efficiency to the selected diagnostic baseline. CAEN full-load compliance is evaluated separately.</w:t>
            </w:r>
          </w:p>
        </w:tc>
      </w:tr>
      <w:tr>
        <w:tc>
          <w:tcPr>
            <w:tcW w:type="dxa" w:w="5112"/>
            <w:vAlign w:val="top"/>
            <w:tcMar>
              <w:top w:w="70" w:type="dxa"/>
              <w:start w:w="90" w:type="dxa"/>
              <w:bottom w:w="70" w:type="dxa"/>
              <w:end w:w="90" w:type="dxa"/>
            </w:tcMar>
          </w:tcPr>
          <w:p>
            <w:r>
              <w:t>power_loss</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diagnostic_state</w:t>
            </w:r>
          </w:p>
        </w:tc>
        <w:tc>
          <w:tcPr>
            <w:tcW w:type="dxa" w:w="5112"/>
            <w:vAlign w:val="top"/>
            <w:tcMar>
              <w:top w:w="70" w:type="dxa"/>
              <w:start w:w="90" w:type="dxa"/>
              <w:bottom w:w="70" w:type="dxa"/>
              <w:end w:w="90" w:type="dxa"/>
            </w:tcMar>
          </w:tcPr>
          <w:p>
            <w:r>
              <w:t>Assigns transient, low-load, healthy, investigate, invalid, or unknown-model state.</w:t>
            </w:r>
          </w:p>
        </w:tc>
      </w:tr>
      <w:tr>
        <w:tc>
          <w:tcPr>
            <w:tcW w:type="dxa" w:w="5112"/>
            <w:vAlign w:val="top"/>
            <w:tcMar>
              <w:top w:w="70" w:type="dxa"/>
              <w:start w:w="90" w:type="dxa"/>
              <w:bottom w:w="70" w:type="dxa"/>
              <w:end w:w="90" w:type="dxa"/>
            </w:tcMar>
          </w:tcPr>
          <w:p>
            <w:r>
              <w:t>diagnostic_confidence</w:t>
            </w:r>
          </w:p>
        </w:tc>
        <w:tc>
          <w:tcPr>
            <w:tcW w:type="dxa" w:w="5112"/>
            <w:vAlign w:val="top"/>
            <w:tcMar>
              <w:top w:w="70" w:type="dxa"/>
              <w:start w:w="90" w:type="dxa"/>
              <w:bottom w:w="70" w:type="dxa"/>
              <w:end w:w="90" w:type="dxa"/>
            </w:tcMar>
          </w:tcPr>
          <w:p>
            <w:r>
              <w:t>Reports confidence from the baseline provenance and data validity.</w:t>
            </w:r>
          </w:p>
        </w:tc>
      </w:tr>
      <w:tr>
        <w:tc>
          <w:tcPr>
            <w:tcW w:type="dxa" w:w="5112"/>
            <w:vAlign w:val="top"/>
            <w:tcMar>
              <w:top w:w="70" w:type="dxa"/>
              <w:start w:w="90" w:type="dxa"/>
              <w:bottom w:w="70" w:type="dxa"/>
              <w:end w:w="90" w:type="dxa"/>
            </w:tcMar>
          </w:tcPr>
          <w:p>
            <w:r>
              <w:t>PlateauDetector [class]</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 xml:space="preserve">  __init__</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 xml:space="preserve">  update</w:t>
            </w:r>
          </w:p>
        </w:tc>
        <w:tc>
          <w:tcPr>
            <w:tcW w:type="dxa" w:w="5112"/>
            <w:vAlign w:val="top"/>
            <w:tcMar>
              <w:top w:w="70" w:type="dxa"/>
              <w:start w:w="90" w:type="dxa"/>
              <w:bottom w:w="70" w:type="dxa"/>
              <w:end w:w="90" w:type="dxa"/>
            </w:tcMar>
          </w:tcPr>
          <w:p>
            <w:r>
              <w:t>Updates the rolling plateau detector and reports whether the signal is steady.</w:t>
            </w:r>
          </w:p>
        </w:tc>
      </w:tr>
      <w:tr>
        <w:tc>
          <w:tcPr>
            <w:tcW w:type="dxa" w:w="5112"/>
            <w:vAlign w:val="top"/>
            <w:tcMar>
              <w:top w:w="70" w:type="dxa"/>
              <w:start w:w="90" w:type="dxa"/>
              <w:bottom w:w="70" w:type="dxa"/>
              <w:end w:w="90" w:type="dxa"/>
            </w:tcMar>
          </w:tcPr>
          <w:p>
            <w:r>
              <w:t xml:space="preserve">  reset</w:t>
            </w:r>
          </w:p>
        </w:tc>
        <w:tc>
          <w:tcPr>
            <w:tcW w:type="dxa" w:w="5112"/>
            <w:vAlign w:val="top"/>
            <w:tcMar>
              <w:top w:w="70" w:type="dxa"/>
              <w:start w:w="90" w:type="dxa"/>
              <w:bottom w:w="70" w:type="dxa"/>
              <w:end w:w="90" w:type="dxa"/>
            </w:tcMar>
          </w:tcPr>
          <w:p>
            <w:r>
              <w:t>Clears retained state before a new evaluation window.</w:t>
            </w:r>
          </w:p>
        </w:tc>
      </w:tr>
    </w:tbl>
    <w:p>
      <w:pPr>
        <w:pStyle w:val="Heading2"/>
      </w:pPr>
      <w:r>
        <w:t>cdcu_load_map.py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CdcuLoadMap [class]</w:t>
            </w:r>
          </w:p>
        </w:tc>
        <w:tc>
          <w:tcPr>
            <w:tcW w:type="dxa" w:w="5112"/>
            <w:vAlign w:val="top"/>
            <w:tcMar>
              <w:top w:w="70" w:type="dxa"/>
              <w:start w:w="90" w:type="dxa"/>
              <w:bottom w:w="70" w:type="dxa"/>
              <w:end w:w="90" w:type="dxa"/>
            </w:tcMar>
          </w:tcPr>
          <w:p>
            <w:r>
              <w:t>Wraps load_map_with_magnetid.json with lookup, substitution, and helper methods for use across the CDCU tool-chain.</w:t>
            </w:r>
          </w:p>
        </w:tc>
      </w:tr>
      <w:tr>
        <w:tc>
          <w:tcPr>
            <w:tcW w:type="dxa" w:w="5112"/>
            <w:vAlign w:val="top"/>
            <w:tcMar>
              <w:top w:w="70" w:type="dxa"/>
              <w:start w:w="90" w:type="dxa"/>
              <w:bottom w:w="70" w:type="dxa"/>
              <w:end w:w="90" w:type="dxa"/>
            </w:tcMar>
          </w:tcPr>
          <w:p>
            <w:r>
              <w:t xml:space="preserve">  __init__</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 xml:space="preserve">  lookup</w:t>
            </w:r>
          </w:p>
        </w:tc>
        <w:tc>
          <w:tcPr>
            <w:tcW w:type="dxa" w:w="5112"/>
            <w:vAlign w:val="top"/>
            <w:tcMar>
              <w:top w:w="70" w:type="dxa"/>
              <w:start w:w="90" w:type="dxa"/>
              <w:bottom w:w="70" w:type="dxa"/>
              <w:end w:w="90" w:type="dxa"/>
            </w:tcMar>
          </w:tcPr>
          <w:p>
            <w:r>
              <w:t>Return a fully-resolved metadata dict for (cabinet, ip).</w:t>
            </w:r>
          </w:p>
        </w:tc>
      </w:tr>
      <w:tr>
        <w:tc>
          <w:tcPr>
            <w:tcW w:type="dxa" w:w="5112"/>
            <w:vAlign w:val="top"/>
            <w:tcMar>
              <w:top w:w="70" w:type="dxa"/>
              <w:start w:w="90" w:type="dxa"/>
              <w:bottom w:w="70" w:type="dxa"/>
              <w:end w:w="90" w:type="dxa"/>
            </w:tcMar>
          </w:tcPr>
          <w:p>
            <w:r>
              <w:t xml:space="preserve">  lookup_soft</w:t>
            </w:r>
          </w:p>
        </w:tc>
        <w:tc>
          <w:tcPr>
            <w:tcW w:type="dxa" w:w="5112"/>
            <w:vAlign w:val="top"/>
            <w:tcMar>
              <w:top w:w="70" w:type="dxa"/>
              <w:start w:w="90" w:type="dxa"/>
              <w:bottom w:w="70" w:type="dxa"/>
              <w:end w:w="90" w:type="dxa"/>
            </w:tcMar>
          </w:tcPr>
          <w:p>
            <w:r>
              <w:t>Like lookup() but returns None instead of raising KeyError when the cabinet/IP combination is absent.</w:t>
            </w:r>
          </w:p>
        </w:tc>
      </w:tr>
      <w:tr>
        <w:tc>
          <w:tcPr>
            <w:tcW w:type="dxa" w:w="5112"/>
            <w:vAlign w:val="top"/>
            <w:tcMar>
              <w:top w:w="70" w:type="dxa"/>
              <w:start w:w="90" w:type="dxa"/>
              <w:bottom w:w="70" w:type="dxa"/>
              <w:end w:w="90" w:type="dxa"/>
            </w:tcMar>
          </w:tcPr>
          <w:p>
            <w:r>
              <w:t xml:space="preserve">  list_cabinets</w:t>
            </w:r>
          </w:p>
        </w:tc>
        <w:tc>
          <w:tcPr>
            <w:tcW w:type="dxa" w:w="5112"/>
            <w:vAlign w:val="top"/>
            <w:tcMar>
              <w:top w:w="70" w:type="dxa"/>
              <w:start w:w="90" w:type="dxa"/>
              <w:bottom w:w="70" w:type="dxa"/>
              <w:end w:w="90" w:type="dxa"/>
            </w:tcMar>
          </w:tcPr>
          <w:p>
            <w:r>
              <w:t>Return all cabinet names in the load map.</w:t>
            </w:r>
          </w:p>
        </w:tc>
      </w:tr>
      <w:tr>
        <w:tc>
          <w:tcPr>
            <w:tcW w:type="dxa" w:w="5112"/>
            <w:vAlign w:val="top"/>
            <w:tcMar>
              <w:top w:w="70" w:type="dxa"/>
              <w:start w:w="90" w:type="dxa"/>
              <w:bottom w:w="70" w:type="dxa"/>
              <w:end w:w="90" w:type="dxa"/>
            </w:tcMar>
          </w:tcPr>
          <w:p>
            <w:r>
              <w:t xml:space="preserve">  list_ips</w:t>
            </w:r>
          </w:p>
        </w:tc>
        <w:tc>
          <w:tcPr>
            <w:tcW w:type="dxa" w:w="5112"/>
            <w:vAlign w:val="top"/>
            <w:tcMar>
              <w:top w:w="70" w:type="dxa"/>
              <w:start w:w="90" w:type="dxa"/>
              <w:bottom w:w="70" w:type="dxa"/>
              <w:end w:w="90" w:type="dxa"/>
            </w:tcMar>
          </w:tcPr>
          <w:p>
            <w:r>
              <w:t>Return all IPs registered under *cabinet*.</w:t>
            </w:r>
          </w:p>
        </w:tc>
      </w:tr>
      <w:tr>
        <w:tc>
          <w:tcPr>
            <w:tcW w:type="dxa" w:w="5112"/>
            <w:vAlign w:val="top"/>
            <w:tcMar>
              <w:top w:w="70" w:type="dxa"/>
              <w:start w:w="90" w:type="dxa"/>
              <w:bottom w:w="70" w:type="dxa"/>
              <w:end w:w="90" w:type="dxa"/>
            </w:tcMar>
          </w:tcPr>
          <w:p>
            <w:r>
              <w:t xml:space="preserve">  find_by_ip</w:t>
            </w:r>
          </w:p>
        </w:tc>
        <w:tc>
          <w:tcPr>
            <w:tcW w:type="dxa" w:w="5112"/>
            <w:vAlign w:val="top"/>
            <w:tcMar>
              <w:top w:w="70" w:type="dxa"/>
              <w:start w:w="90" w:type="dxa"/>
              <w:bottom w:w="70" w:type="dxa"/>
              <w:end w:w="90" w:type="dxa"/>
            </w:tcMar>
          </w:tcPr>
          <w:p>
            <w:r>
              <w:t>Search all cabinets for *ip*.</w:t>
            </w:r>
          </w:p>
        </w:tc>
      </w:tr>
      <w:tr>
        <w:tc>
          <w:tcPr>
            <w:tcW w:type="dxa" w:w="5112"/>
            <w:vAlign w:val="top"/>
            <w:tcMar>
              <w:top w:w="70" w:type="dxa"/>
              <w:start w:w="90" w:type="dxa"/>
              <w:bottom w:w="70" w:type="dxa"/>
              <w:end w:w="90" w:type="dxa"/>
            </w:tcMar>
          </w:tcPr>
          <w:p>
            <w:r>
              <w:t xml:space="preserve">  all_entries</w:t>
            </w:r>
          </w:p>
        </w:tc>
        <w:tc>
          <w:tcPr>
            <w:tcW w:type="dxa" w:w="5112"/>
            <w:vAlign w:val="top"/>
            <w:tcMar>
              <w:top w:w="70" w:type="dxa"/>
              <w:start w:w="90" w:type="dxa"/>
              <w:bottom w:w="70" w:type="dxa"/>
              <w:end w:w="90" w:type="dxa"/>
            </w:tcMar>
          </w:tcPr>
          <w:p>
            <w:r>
              <w:t>Iterate over every (cabinet, ip, resolved_entry) in the map.</w:t>
            </w:r>
          </w:p>
        </w:tc>
      </w:tr>
      <w:tr>
        <w:tc>
          <w:tcPr>
            <w:tcW w:type="dxa" w:w="5112"/>
            <w:vAlign w:val="top"/>
            <w:tcMar>
              <w:top w:w="70" w:type="dxa"/>
              <w:start w:w="90" w:type="dxa"/>
              <w:bottom w:w="70" w:type="dxa"/>
              <w:end w:w="90" w:type="dxa"/>
            </w:tcMar>
          </w:tcPr>
          <w:p>
            <w:r>
              <w:t xml:space="preserve">  _resolve</w:t>
            </w:r>
          </w:p>
        </w:tc>
        <w:tc>
          <w:tcPr>
            <w:tcW w:type="dxa" w:w="5112"/>
            <w:vAlign w:val="top"/>
            <w:tcMar>
              <w:top w:w="70" w:type="dxa"/>
              <w:start w:w="90" w:type="dxa"/>
              <w:bottom w:w="70" w:type="dxa"/>
              <w:end w:w="90" w:type="dxa"/>
            </w:tcMar>
          </w:tcPr>
          <w:p>
            <w:r>
              <w:t>Apply {SECTOR} substitution and numeric coercion to a raw entry.</w:t>
            </w:r>
          </w:p>
        </w:tc>
      </w:tr>
      <w:tr>
        <w:tc>
          <w:tcPr>
            <w:tcW w:type="dxa" w:w="5112"/>
            <w:vAlign w:val="top"/>
            <w:tcMar>
              <w:top w:w="70" w:type="dxa"/>
              <w:start w:w="90" w:type="dxa"/>
              <w:bottom w:w="70" w:type="dxa"/>
              <w:end w:w="90" w:type="dxa"/>
            </w:tcMar>
          </w:tcPr>
          <w:p>
            <w:r>
              <w:t>_to_float_or_none</w:t>
            </w:r>
          </w:p>
        </w:tc>
        <w:tc>
          <w:tcPr>
            <w:tcW w:type="dxa" w:w="5112"/>
            <w:vAlign w:val="top"/>
            <w:tcMar>
              <w:top w:w="70" w:type="dxa"/>
              <w:start w:w="90" w:type="dxa"/>
              <w:bottom w:w="70" w:type="dxa"/>
              <w:end w:w="90" w:type="dxa"/>
            </w:tcMar>
          </w:tcPr>
          <w:p>
            <w:r>
              <w:t>Return float(s) or None if s is empty / non-numeric.</w:t>
            </w:r>
          </w:p>
        </w:tc>
      </w:tr>
      <w:tr>
        <w:tc>
          <w:tcPr>
            <w:tcW w:type="dxa" w:w="5112"/>
            <w:vAlign w:val="top"/>
            <w:tcMar>
              <w:top w:w="70" w:type="dxa"/>
              <w:start w:w="90" w:type="dxa"/>
              <w:bottom w:w="70" w:type="dxa"/>
              <w:end w:w="90" w:type="dxa"/>
            </w:tcMar>
          </w:tcPr>
          <w:p>
            <w:r>
              <w:t>load_map_from_env_or_default</w:t>
            </w:r>
          </w:p>
        </w:tc>
        <w:tc>
          <w:tcPr>
            <w:tcW w:type="dxa" w:w="5112"/>
            <w:vAlign w:val="top"/>
            <w:tcMar>
              <w:top w:w="70" w:type="dxa"/>
              <w:start w:w="90" w:type="dxa"/>
              <w:bottom w:w="70" w:type="dxa"/>
              <w:end w:w="90" w:type="dxa"/>
            </w:tcMar>
          </w:tcPr>
          <w:p>
            <w:r>
              <w:t>Convenience loader used by cdcu_monitor.py.</w:t>
            </w:r>
          </w:p>
        </w:tc>
      </w:tr>
      <w:tr>
        <w:tc>
          <w:tcPr>
            <w:tcW w:type="dxa" w:w="5112"/>
            <w:vAlign w:val="top"/>
            <w:tcMar>
              <w:top w:w="70" w:type="dxa"/>
              <w:start w:w="90" w:type="dxa"/>
              <w:bottom w:w="70" w:type="dxa"/>
              <w:end w:w="90" w:type="dxa"/>
            </w:tcMar>
          </w:tcPr>
          <w:p>
            <w:r>
              <w:t>_cli</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bl>
    <w:p>
      <w:pPr>
        <w:pStyle w:val="Heading2"/>
      </w:pPr>
      <w:r>
        <w:t>cdcu_monitor.py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_parse_cdcu_field</w:t>
            </w:r>
          </w:p>
        </w:tc>
        <w:tc>
          <w:tcPr>
            <w:tcW w:type="dxa" w:w="5112"/>
            <w:vAlign w:val="top"/>
            <w:tcMar>
              <w:top w:w="70" w:type="dxa"/>
              <w:start w:w="90" w:type="dxa"/>
              <w:bottom w:w="70" w:type="dxa"/>
              <w:end w:w="90" w:type="dxa"/>
            </w:tcMar>
          </w:tcPr>
          <w:p>
            <w:r>
              <w:t>Strip '#PREFIX:' from a CDCU response; return value after the last ':'.</w:t>
            </w:r>
          </w:p>
        </w:tc>
      </w:tr>
      <w:tr>
        <w:tc>
          <w:tcPr>
            <w:tcW w:type="dxa" w:w="5112"/>
            <w:vAlign w:val="top"/>
            <w:tcMar>
              <w:top w:w="70" w:type="dxa"/>
              <w:start w:w="90" w:type="dxa"/>
              <w:bottom w:w="70" w:type="dxa"/>
              <w:end w:w="90" w:type="dxa"/>
            </w:tcMar>
          </w:tcPr>
          <w:p>
            <w:r>
              <w:t>_magnet_name_from_load_desc</w:t>
            </w:r>
          </w:p>
        </w:tc>
        <w:tc>
          <w:tcPr>
            <w:tcW w:type="dxa" w:w="5112"/>
            <w:vAlign w:val="top"/>
            <w:tcMar>
              <w:top w:w="70" w:type="dxa"/>
              <w:start w:w="90" w:type="dxa"/>
              <w:bottom w:w="70" w:type="dxa"/>
              <w:end w:w="90" w:type="dxa"/>
            </w:tcMar>
          </w:tcPr>
          <w:p>
            <w:r>
              <w:t>If magnet_id ends with ':' (bare sector prefix, no name), extract the magnet type name from the second semicolon-delimited token of load_desc.</w:t>
            </w:r>
          </w:p>
        </w:tc>
      </w:tr>
      <w:tr>
        <w:tc>
          <w:tcPr>
            <w:tcW w:type="dxa" w:w="5112"/>
            <w:vAlign w:val="top"/>
            <w:tcMar>
              <w:top w:w="70" w:type="dxa"/>
              <w:start w:w="90" w:type="dxa"/>
              <w:bottom w:w="70" w:type="dxa"/>
              <w:end w:w="90" w:type="dxa"/>
            </w:tcMar>
          </w:tcPr>
          <w:p>
            <w:r>
              <w:t>send_command</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parse_float</w:t>
            </w:r>
          </w:p>
        </w:tc>
        <w:tc>
          <w:tcPr>
            <w:tcW w:type="dxa" w:w="5112"/>
            <w:vAlign w:val="top"/>
            <w:tcMar>
              <w:top w:w="70" w:type="dxa"/>
              <w:start w:w="90" w:type="dxa"/>
              <w:bottom w:w="70" w:type="dxa"/>
              <w:end w:w="90" w:type="dxa"/>
            </w:tcMar>
          </w:tcPr>
          <w:p>
            <w:r>
              <w:t>Parse CDCU responses like: #MRP:39.26 #MGPC:-0.53 #MRV:5.1051512 #MRI:74.999908</w:t>
            </w:r>
          </w:p>
        </w:tc>
      </w:tr>
      <w:tr>
        <w:tc>
          <w:tcPr>
            <w:tcW w:type="dxa" w:w="5112"/>
            <w:vAlign w:val="top"/>
            <w:tcMar>
              <w:top w:w="70" w:type="dxa"/>
              <w:start w:w="90" w:type="dxa"/>
              <w:bottom w:w="70" w:type="dxa"/>
              <w:end w:w="90" w:type="dxa"/>
            </w:tcMar>
          </w:tcPr>
          <w:p>
            <w:r>
              <w:t>safe_power</w:t>
            </w:r>
          </w:p>
        </w:tc>
        <w:tc>
          <w:tcPr>
            <w:tcW w:type="dxa" w:w="5112"/>
            <w:vAlign w:val="top"/>
            <w:tcMar>
              <w:top w:w="70" w:type="dxa"/>
              <w:start w:w="90" w:type="dxa"/>
              <w:bottom w:w="70" w:type="dxa"/>
              <w:end w:w="90" w:type="dxa"/>
            </w:tcMar>
          </w:tcPr>
          <w:p>
            <w:r>
              <w:t>Compute power magnitude = |V * I| when both inputs are valid.</w:t>
            </w:r>
          </w:p>
        </w:tc>
      </w:tr>
      <w:tr>
        <w:tc>
          <w:tcPr>
            <w:tcW w:type="dxa" w:w="5112"/>
            <w:vAlign w:val="top"/>
            <w:tcMar>
              <w:top w:w="70" w:type="dxa"/>
              <w:start w:w="90" w:type="dxa"/>
              <w:bottom w:w="70" w:type="dxa"/>
              <w:end w:w="90" w:type="dxa"/>
            </w:tcMar>
          </w:tcPr>
          <w:p>
            <w:r>
              <w:t>calculate_efficiency_percent</w:t>
            </w:r>
          </w:p>
        </w:tc>
        <w:tc>
          <w:tcPr>
            <w:tcW w:type="dxa" w:w="5112"/>
            <w:vAlign w:val="top"/>
            <w:tcMar>
              <w:top w:w="70" w:type="dxa"/>
              <w:start w:w="90" w:type="dxa"/>
              <w:bottom w:w="70" w:type="dxa"/>
              <w:end w:w="90" w:type="dxa"/>
            </w:tcMar>
          </w:tcPr>
          <w:p>
            <w:r>
              <w:t>Measured converter efficiency using power magnitudes: Pin = |Vbus * Ibus| Pout = |Vout * Iout| eta% = 100 * Pout / Pin</w:t>
            </w:r>
          </w:p>
        </w:tc>
      </w:tr>
      <w:tr>
        <w:tc>
          <w:tcPr>
            <w:tcW w:type="dxa" w:w="5112"/>
            <w:vAlign w:val="top"/>
            <w:tcMar>
              <w:top w:w="70" w:type="dxa"/>
              <w:start w:w="90" w:type="dxa"/>
              <w:bottom w:w="70" w:type="dxa"/>
              <w:end w:w="90" w:type="dxa"/>
            </w:tcMar>
          </w:tcPr>
          <w:p>
            <w:r>
              <w:t>clip_efficiency_percent</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_pct_and_ppm</w:t>
            </w:r>
          </w:p>
        </w:tc>
        <w:tc>
          <w:tcPr>
            <w:tcW w:type="dxa" w:w="5112"/>
            <w:vAlign w:val="top"/>
            <w:tcMar>
              <w:top w:w="70" w:type="dxa"/>
              <w:start w:w="90" w:type="dxa"/>
              <w:bottom w:w="70" w:type="dxa"/>
              <w:end w:w="90" w:type="dxa"/>
            </w:tcMar>
          </w:tcPr>
          <w:p>
            <w:r>
              <w:t>Return (percent, ppm) for engineering reporting; 1% = 10,000 ppm.</w:t>
            </w:r>
          </w:p>
        </w:tc>
      </w:tr>
      <w:tr>
        <w:tc>
          <w:tcPr>
            <w:tcW w:type="dxa" w:w="5112"/>
            <w:vAlign w:val="top"/>
            <w:tcMar>
              <w:top w:w="70" w:type="dxa"/>
              <w:start w:w="90" w:type="dxa"/>
              <w:bottom w:w="70" w:type="dxa"/>
              <w:end w:w="90" w:type="dxa"/>
            </w:tcMar>
          </w:tcPr>
          <w:p>
            <w:r>
              <w:t>_analyze_pmm_immediately</w:t>
            </w:r>
          </w:p>
        </w:tc>
        <w:tc>
          <w:tcPr>
            <w:tcW w:type="dxa" w:w="5112"/>
            <w:vAlign w:val="top"/>
            <w:tcMar>
              <w:top w:w="70" w:type="dxa"/>
              <w:start w:w="90" w:type="dxa"/>
              <w:bottom w:w="70" w:type="dxa"/>
              <w:end w:w="90" w:type="dxa"/>
            </w:tcMar>
          </w:tcPr>
          <w:p>
            <w:r>
              <w:t>Immediately analyze one PMM capture and persist machine/human-readable summaries.</w:t>
            </w:r>
          </w:p>
        </w:tc>
      </w:tr>
    </w:tbl>
    <w:p>
      <w:pPr>
        <w:pStyle w:val="Heading2"/>
      </w:pPr>
      <w:r>
        <w:t>cdcu_pmm.py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_send_recv</w:t>
            </w:r>
          </w:p>
        </w:tc>
        <w:tc>
          <w:tcPr>
            <w:tcW w:type="dxa" w:w="5112"/>
            <w:vAlign w:val="top"/>
            <w:tcMar>
              <w:top w:w="70" w:type="dxa"/>
              <w:start w:w="90" w:type="dxa"/>
              <w:bottom w:w="70" w:type="dxa"/>
              <w:end w:w="90" w:type="dxa"/>
            </w:tcMar>
          </w:tcPr>
          <w:p>
            <w:r>
              <w:t>Send a CR-terminated command and read the response byte-by-byte until .</w:t>
            </w:r>
          </w:p>
        </w:tc>
      </w:tr>
      <w:tr>
        <w:tc>
          <w:tcPr>
            <w:tcW w:type="dxa" w:w="5112"/>
            <w:vAlign w:val="top"/>
            <w:tcMar>
              <w:top w:w="70" w:type="dxa"/>
              <w:start w:w="90" w:type="dxa"/>
              <w:bottom w:w="70" w:type="dxa"/>
              <w:end w:w="90" w:type="dxa"/>
            </w:tcMar>
          </w:tcPr>
          <w:p>
            <w:r>
              <w:t>_parse_nak</w:t>
            </w:r>
          </w:p>
        </w:tc>
        <w:tc>
          <w:tcPr>
            <w:tcW w:type="dxa" w:w="5112"/>
            <w:vAlign w:val="top"/>
            <w:tcMar>
              <w:top w:w="70" w:type="dxa"/>
              <w:start w:w="90" w:type="dxa"/>
              <w:bottom w:w="70" w:type="dxa"/>
              <w:end w:w="90" w:type="dxa"/>
            </w:tcMar>
          </w:tcPr>
          <w:p>
            <w:r>
              <w:t>Return the error code string if the response is a NAK, else None.</w:t>
            </w:r>
          </w:p>
        </w:tc>
      </w:tr>
      <w:tr>
        <w:tc>
          <w:tcPr>
            <w:tcW w:type="dxa" w:w="5112"/>
            <w:vAlign w:val="top"/>
            <w:tcMar>
              <w:top w:w="70" w:type="dxa"/>
              <w:start w:w="90" w:type="dxa"/>
              <w:bottom w:w="70" w:type="dxa"/>
              <w:end w:w="90" w:type="dxa"/>
            </w:tcMar>
          </w:tcPr>
          <w:p>
            <w:r>
              <w:t>PmmAcquisition [class]</w:t>
            </w:r>
          </w:p>
        </w:tc>
        <w:tc>
          <w:tcPr>
            <w:tcW w:type="dxa" w:w="5112"/>
            <w:vAlign w:val="top"/>
            <w:tcMar>
              <w:top w:w="70" w:type="dxa"/>
              <w:start w:w="90" w:type="dxa"/>
              <w:bottom w:w="70" w:type="dxa"/>
              <w:end w:w="90" w:type="dxa"/>
            </w:tcMar>
          </w:tcPr>
          <w:p>
            <w:r>
              <w:t>Manages the full PMM lifecycle over an open TCP socket.</w:t>
            </w:r>
          </w:p>
        </w:tc>
      </w:tr>
      <w:tr>
        <w:tc>
          <w:tcPr>
            <w:tcW w:type="dxa" w:w="5112"/>
            <w:vAlign w:val="top"/>
            <w:tcMar>
              <w:top w:w="70" w:type="dxa"/>
              <w:start w:w="90" w:type="dxa"/>
              <w:bottom w:w="70" w:type="dxa"/>
              <w:end w:w="90" w:type="dxa"/>
            </w:tcMar>
          </w:tcPr>
          <w:p>
            <w:r>
              <w:t xml:space="preserve">  __init__</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 xml:space="preserve">  arm</w:t>
            </w:r>
          </w:p>
        </w:tc>
        <w:tc>
          <w:tcPr>
            <w:tcW w:type="dxa" w:w="5112"/>
            <w:vAlign w:val="top"/>
            <w:tcMar>
              <w:top w:w="70" w:type="dxa"/>
              <w:start w:w="90" w:type="dxa"/>
              <w:bottom w:w="70" w:type="dxa"/>
              <w:end w:w="90" w:type="dxa"/>
            </w:tcMar>
          </w:tcPr>
          <w:p>
            <w:r>
              <w:t>Send PMM:RESET to arm (or rearm) the acquisition buffer.</w:t>
            </w:r>
          </w:p>
        </w:tc>
      </w:tr>
      <w:tr>
        <w:tc>
          <w:tcPr>
            <w:tcW w:type="dxa" w:w="5112"/>
            <w:vAlign w:val="top"/>
            <w:tcMar>
              <w:top w:w="70" w:type="dxa"/>
              <w:start w:w="90" w:type="dxa"/>
              <w:bottom w:w="70" w:type="dxa"/>
              <w:end w:w="90" w:type="dxa"/>
            </w:tcMar>
          </w:tcPr>
          <w:p>
            <w:r>
              <w:t xml:space="preserve">  force</w:t>
            </w:r>
          </w:p>
        </w:tc>
        <w:tc>
          <w:tcPr>
            <w:tcW w:type="dxa" w:w="5112"/>
            <w:vAlign w:val="top"/>
            <w:tcMar>
              <w:top w:w="70" w:type="dxa"/>
              <w:start w:w="90" w:type="dxa"/>
              <w:bottom w:w="70" w:type="dxa"/>
              <w:end w:w="90" w:type="dxa"/>
            </w:tcMar>
          </w:tcPr>
          <w:p>
            <w:r>
              <w:t>Send PMM:FORCE to software-trigger the PMM buffer immediately.</w:t>
            </w:r>
          </w:p>
        </w:tc>
      </w:tr>
      <w:tr>
        <w:tc>
          <w:tcPr>
            <w:tcW w:type="dxa" w:w="5112"/>
            <w:vAlign w:val="top"/>
            <w:tcMar>
              <w:top w:w="70" w:type="dxa"/>
              <w:start w:w="90" w:type="dxa"/>
              <w:bottom w:w="70" w:type="dxa"/>
              <w:end w:w="90" w:type="dxa"/>
            </w:tcMar>
          </w:tcPr>
          <w:p>
            <w:r>
              <w:t xml:space="preserve">  set_trigger_position</w:t>
            </w:r>
          </w:p>
        </w:tc>
        <w:tc>
          <w:tcPr>
            <w:tcW w:type="dxa" w:w="5112"/>
            <w:vAlign w:val="top"/>
            <w:tcMar>
              <w:top w:w="70" w:type="dxa"/>
              <w:start w:w="90" w:type="dxa"/>
              <w:bottom w:w="70" w:type="dxa"/>
              <w:end w:w="90" w:type="dxa"/>
            </w:tcMar>
          </w:tcPr>
          <w:p>
            <w:r>
              <w:t>Set the trigger position (seconds of pre-fault data in the window).</w:t>
            </w:r>
          </w:p>
        </w:tc>
      </w:tr>
      <w:tr>
        <w:tc>
          <w:tcPr>
            <w:tcW w:type="dxa" w:w="5112"/>
            <w:vAlign w:val="top"/>
            <w:tcMar>
              <w:top w:w="70" w:type="dxa"/>
              <w:start w:w="90" w:type="dxa"/>
              <w:bottom w:w="70" w:type="dxa"/>
              <w:end w:w="90" w:type="dxa"/>
            </w:tcMar>
          </w:tcPr>
          <w:p>
            <w:r>
              <w:t xml:space="preserve">  get_trigger_position</w:t>
            </w:r>
          </w:p>
        </w:tc>
        <w:tc>
          <w:tcPr>
            <w:tcW w:type="dxa" w:w="5112"/>
            <w:vAlign w:val="top"/>
            <w:tcMar>
              <w:top w:w="70" w:type="dxa"/>
              <w:start w:w="90" w:type="dxa"/>
              <w:bottom w:w="70" w:type="dxa"/>
              <w:end w:w="90" w:type="dxa"/>
            </w:tcMar>
          </w:tcPr>
          <w:p>
            <w:r>
              <w:t>Query the current trigger position in seconds.</w:t>
            </w:r>
          </w:p>
        </w:tc>
      </w:tr>
      <w:tr>
        <w:tc>
          <w:tcPr>
            <w:tcW w:type="dxa" w:w="5112"/>
            <w:vAlign w:val="top"/>
            <w:tcMar>
              <w:top w:w="70" w:type="dxa"/>
              <w:start w:w="90" w:type="dxa"/>
              <w:bottom w:w="70" w:type="dxa"/>
              <w:end w:w="90" w:type="dxa"/>
            </w:tcMar>
          </w:tcPr>
          <w:p>
            <w:r>
              <w:t xml:space="preserve">  is_ready</w:t>
            </w:r>
          </w:p>
        </w:tc>
        <w:tc>
          <w:tcPr>
            <w:tcW w:type="dxa" w:w="5112"/>
            <w:vAlign w:val="top"/>
            <w:tcMar>
              <w:top w:w="70" w:type="dxa"/>
              <w:start w:w="90" w:type="dxa"/>
              <w:bottom w:w="70" w:type="dxa"/>
              <w:end w:w="90" w:type="dxa"/>
            </w:tcMar>
          </w:tcPr>
          <w:p>
            <w:r>
              <w:t>Return True if the acquisition buffer is full and ready to read.</w:t>
            </w:r>
          </w:p>
        </w:tc>
      </w:tr>
      <w:tr>
        <w:tc>
          <w:tcPr>
            <w:tcW w:type="dxa" w:w="5112"/>
            <w:vAlign w:val="top"/>
            <w:tcMar>
              <w:top w:w="70" w:type="dxa"/>
              <w:start w:w="90" w:type="dxa"/>
              <w:bottom w:w="70" w:type="dxa"/>
              <w:end w:w="90" w:type="dxa"/>
            </w:tcMar>
          </w:tcPr>
          <w:p>
            <w:r>
              <w:t xml:space="preserve">  wait_ready</w:t>
            </w:r>
          </w:p>
        </w:tc>
        <w:tc>
          <w:tcPr>
            <w:tcW w:type="dxa" w:w="5112"/>
            <w:vAlign w:val="top"/>
            <w:tcMar>
              <w:top w:w="70" w:type="dxa"/>
              <w:start w:w="90" w:type="dxa"/>
              <w:bottom w:w="70" w:type="dxa"/>
              <w:end w:w="90" w:type="dxa"/>
            </w:tcMar>
          </w:tcPr>
          <w:p>
            <w:r>
              <w:t>Poll PMM:READY:?</w:t>
            </w:r>
          </w:p>
        </w:tc>
      </w:tr>
      <w:tr>
        <w:tc>
          <w:tcPr>
            <w:tcW w:type="dxa" w:w="5112"/>
            <w:vAlign w:val="top"/>
            <w:tcMar>
              <w:top w:w="70" w:type="dxa"/>
              <w:start w:w="90" w:type="dxa"/>
              <w:bottom w:w="70" w:type="dxa"/>
              <w:end w:w="90" w:type="dxa"/>
            </w:tcMar>
          </w:tcPr>
          <w:p>
            <w:r>
              <w:t xml:space="preserve">  timestamp</w:t>
            </w:r>
          </w:p>
        </w:tc>
        <w:tc>
          <w:tcPr>
            <w:tcW w:type="dxa" w:w="5112"/>
            <w:vAlign w:val="top"/>
            <w:tcMar>
              <w:top w:w="70" w:type="dxa"/>
              <w:start w:w="90" w:type="dxa"/>
              <w:bottom w:w="70" w:type="dxa"/>
              <w:end w:w="90" w:type="dxa"/>
            </w:tcMar>
          </w:tcPr>
          <w:p>
            <w:r>
              <w:t>Return the PMM acquisition timestamp string from the unit (e.g.</w:t>
            </w:r>
          </w:p>
        </w:tc>
      </w:tr>
      <w:tr>
        <w:tc>
          <w:tcPr>
            <w:tcW w:type="dxa" w:w="5112"/>
            <w:vAlign w:val="top"/>
            <w:tcMar>
              <w:top w:w="70" w:type="dxa"/>
              <w:start w:w="90" w:type="dxa"/>
              <w:bottom w:w="70" w:type="dxa"/>
              <w:end w:w="90" w:type="dxa"/>
            </w:tcMar>
          </w:tcPr>
          <w:p>
            <w:r>
              <w:t xml:space="preserve">  fetch_channel</w:t>
            </w:r>
          </w:p>
        </w:tc>
        <w:tc>
          <w:tcPr>
            <w:tcW w:type="dxa" w:w="5112"/>
            <w:vAlign w:val="top"/>
            <w:tcMar>
              <w:top w:w="70" w:type="dxa"/>
              <w:start w:w="90" w:type="dxa"/>
              <w:bottom w:w="70" w:type="dxa"/>
              <w:end w:w="90" w:type="dxa"/>
            </w:tcMar>
          </w:tcPr>
          <w:p>
            <w:r>
              <w:t>Fetch one PMM channel and return (samples, col_name, unit, label).</w:t>
            </w:r>
          </w:p>
        </w:tc>
      </w:tr>
      <w:tr>
        <w:tc>
          <w:tcPr>
            <w:tcW w:type="dxa" w:w="5112"/>
            <w:vAlign w:val="top"/>
            <w:tcMar>
              <w:top w:w="70" w:type="dxa"/>
              <w:start w:w="90" w:type="dxa"/>
              <w:bottom w:w="70" w:type="dxa"/>
              <w:end w:w="90" w:type="dxa"/>
            </w:tcMar>
          </w:tcPr>
          <w:p>
            <w:r>
              <w:t xml:space="preserve">  fetch_dataframe</w:t>
            </w:r>
          </w:p>
        </w:tc>
        <w:tc>
          <w:tcPr>
            <w:tcW w:type="dxa" w:w="5112"/>
            <w:vAlign w:val="top"/>
            <w:tcMar>
              <w:top w:w="70" w:type="dxa"/>
              <w:start w:w="90" w:type="dxa"/>
              <w:bottom w:w="70" w:type="dxa"/>
              <w:end w:w="90" w:type="dxa"/>
            </w:tcMar>
          </w:tcPr>
          <w:p>
            <w:r>
              <w:t>Fetch all (or specified) PMM channels and return a tidy DataFrame.</w:t>
            </w:r>
          </w:p>
        </w:tc>
      </w:tr>
      <w:tr>
        <w:tc>
          <w:tcPr>
            <w:tcW w:type="dxa" w:w="5112"/>
            <w:vAlign w:val="top"/>
            <w:tcMar>
              <w:top w:w="70" w:type="dxa"/>
              <w:start w:w="90" w:type="dxa"/>
              <w:bottom w:w="70" w:type="dxa"/>
              <w:end w:w="90" w:type="dxa"/>
            </w:tcMar>
          </w:tcPr>
          <w:p>
            <w:r>
              <w:t>acquire_pmm</w:t>
            </w:r>
          </w:p>
        </w:tc>
        <w:tc>
          <w:tcPr>
            <w:tcW w:type="dxa" w:w="5112"/>
            <w:vAlign w:val="top"/>
            <w:tcMar>
              <w:top w:w="70" w:type="dxa"/>
              <w:start w:w="90" w:type="dxa"/>
              <w:bottom w:w="70" w:type="dxa"/>
              <w:end w:w="90" w:type="dxa"/>
            </w:tcMar>
          </w:tcPr>
          <w:p>
            <w:r>
              <w:t>High-level convenience: connect (or reuse *sock*), arm, wait, fetch.</w:t>
            </w:r>
          </w:p>
        </w:tc>
      </w:tr>
    </w:tbl>
    <w:p>
      <w:pPr>
        <w:pStyle w:val="Heading2"/>
      </w:pPr>
      <w:r>
        <w:t>cdcu_pmm_fft.py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_parse_channels</w:t>
            </w:r>
          </w:p>
        </w:tc>
        <w:tc>
          <w:tcPr>
            <w:tcW w:type="dxa" w:w="5112"/>
            <w:vAlign w:val="top"/>
            <w:tcMar>
              <w:top w:w="70" w:type="dxa"/>
              <w:start w:w="90" w:type="dxa"/>
              <w:bottom w:w="70" w:type="dxa"/>
              <w:end w:w="90" w:type="dxa"/>
            </w:tcMar>
          </w:tcPr>
          <w:p>
            <w:r>
              <w:t>Convert a comma-separated channel list into validated PMM column names.</w:t>
            </w:r>
          </w:p>
        </w:tc>
      </w:tr>
      <w:tr>
        <w:tc>
          <w:tcPr>
            <w:tcW w:type="dxa" w:w="5112"/>
            <w:vAlign w:val="top"/>
            <w:tcMar>
              <w:top w:w="70" w:type="dxa"/>
              <w:start w:w="90" w:type="dxa"/>
              <w:bottom w:w="70" w:type="dxa"/>
              <w:end w:w="90" w:type="dxa"/>
            </w:tcMar>
          </w:tcPr>
          <w:p>
            <w:r>
              <w:t>_ppm_reference</w:t>
            </w:r>
          </w:p>
        </w:tc>
        <w:tc>
          <w:tcPr>
            <w:tcW w:type="dxa" w:w="5112"/>
            <w:vAlign w:val="top"/>
            <w:tcMar>
              <w:top w:w="70" w:type="dxa"/>
              <w:start w:w="90" w:type="dxa"/>
              <w:bottom w:w="70" w:type="dxa"/>
              <w:end w:w="90" w:type="dxa"/>
            </w:tcMar>
          </w:tcPr>
          <w:p>
            <w:r>
              <w:t>Use an engineering reference when supplied; otherwise use the channel DC mean.</w:t>
            </w:r>
          </w:p>
        </w:tc>
      </w:tr>
      <w:tr>
        <w:tc>
          <w:tcPr>
            <w:tcW w:type="dxa" w:w="5112"/>
            <w:vAlign w:val="top"/>
            <w:tcMar>
              <w:top w:w="70" w:type="dxa"/>
              <w:start w:w="90" w:type="dxa"/>
              <w:bottom w:w="70" w:type="dxa"/>
              <w:end w:w="90" w:type="dxa"/>
            </w:tcMar>
          </w:tcPr>
          <w:p>
            <w:r>
              <w:t>analyze_pmm_csv</w:t>
            </w:r>
          </w:p>
        </w:tc>
        <w:tc>
          <w:tcPr>
            <w:tcW w:type="dxa" w:w="5112"/>
            <w:vAlign w:val="top"/>
            <w:tcMar>
              <w:top w:w="70" w:type="dxa"/>
              <w:start w:w="90" w:type="dxa"/>
              <w:bottom w:w="70" w:type="dxa"/>
              <w:end w:w="90" w:type="dxa"/>
            </w:tcMar>
          </w:tcPr>
          <w:p>
            <w:r>
              <w:t>Run FFT, PSD, cumulative RMS, and band analysis on a saved PMM capture.</w:t>
            </w:r>
          </w:p>
        </w:tc>
      </w:tr>
      <w:tr>
        <w:tc>
          <w:tcPr>
            <w:tcW w:type="dxa" w:w="5112"/>
            <w:vAlign w:val="top"/>
            <w:tcMar>
              <w:top w:w="70" w:type="dxa"/>
              <w:start w:w="90" w:type="dxa"/>
              <w:bottom w:w="70" w:type="dxa"/>
              <w:end w:w="90" w:type="dxa"/>
            </w:tcMar>
          </w:tcPr>
          <w:p>
            <w:r>
              <w:t>main</w:t>
            </w:r>
          </w:p>
        </w:tc>
        <w:tc>
          <w:tcPr>
            <w:tcW w:type="dxa" w:w="5112"/>
            <w:vAlign w:val="top"/>
            <w:tcMar>
              <w:top w:w="70" w:type="dxa"/>
              <w:start w:w="90" w:type="dxa"/>
              <w:bottom w:w="70" w:type="dxa"/>
              <w:end w:w="90" w:type="dxa"/>
            </w:tcMar>
          </w:tcPr>
          <w:p>
            <w:r>
              <w:t>Parse command-line options and run standalone PMM spectral analysis.</w:t>
            </w:r>
          </w:p>
        </w:tc>
      </w:tr>
    </w:tbl>
    <w:p>
      <w:pPr>
        <w:pStyle w:val="Heading2"/>
      </w:pPr>
      <w:r>
        <w:t>cdcu_registers.py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decode_mftr</w:t>
            </w:r>
          </w:p>
        </w:tc>
        <w:tc>
          <w:tcPr>
            <w:tcW w:type="dxa" w:w="5112"/>
            <w:vAlign w:val="top"/>
            <w:tcMar>
              <w:top w:w="70" w:type="dxa"/>
              <w:start w:w="90" w:type="dxa"/>
              <w:bottom w:w="70" w:type="dxa"/>
              <w:end w:w="90" w:type="dxa"/>
            </w:tcMar>
          </w:tcPr>
          <w:p>
            <w:r>
              <w:t>Decode MFTR hex register string (e.g.</w:t>
            </w:r>
          </w:p>
        </w:tc>
      </w:tr>
      <w:tr>
        <w:tc>
          <w:tcPr>
            <w:tcW w:type="dxa" w:w="5112"/>
            <w:vAlign w:val="top"/>
            <w:tcMar>
              <w:top w:w="70" w:type="dxa"/>
              <w:start w:w="90" w:type="dxa"/>
              <w:bottom w:w="70" w:type="dxa"/>
              <w:end w:w="90" w:type="dxa"/>
            </w:tcMar>
          </w:tcPr>
          <w:p>
            <w:r>
              <w:t>decode_mstr</w:t>
            </w:r>
          </w:p>
        </w:tc>
        <w:tc>
          <w:tcPr>
            <w:tcW w:type="dxa" w:w="5112"/>
            <w:vAlign w:val="top"/>
            <w:tcMar>
              <w:top w:w="70" w:type="dxa"/>
              <w:start w:w="90" w:type="dxa"/>
              <w:bottom w:w="70" w:type="dxa"/>
              <w:end w:w="90" w:type="dxa"/>
            </w:tcMar>
          </w:tcPr>
          <w:p>
            <w:r>
              <w:t>Decode MSTR hex register string (e.g.</w:t>
            </w:r>
          </w:p>
        </w:tc>
      </w:tr>
      <w:tr>
        <w:tc>
          <w:tcPr>
            <w:tcW w:type="dxa" w:w="5112"/>
            <w:vAlign w:val="top"/>
            <w:tcMar>
              <w:top w:w="70" w:type="dxa"/>
              <w:start w:w="90" w:type="dxa"/>
              <w:bottom w:w="70" w:type="dxa"/>
              <w:end w:w="90" w:type="dxa"/>
            </w:tcMar>
          </w:tcPr>
          <w:p>
            <w:r>
              <w:t>decode_mwrr</w:t>
            </w:r>
          </w:p>
        </w:tc>
        <w:tc>
          <w:tcPr>
            <w:tcW w:type="dxa" w:w="5112"/>
            <w:vAlign w:val="top"/>
            <w:tcMar>
              <w:top w:w="70" w:type="dxa"/>
              <w:start w:w="90" w:type="dxa"/>
              <w:bottom w:w="70" w:type="dxa"/>
              <w:end w:w="90" w:type="dxa"/>
            </w:tcMar>
          </w:tcPr>
          <w:p>
            <w:r>
              <w:t>Decode MWRR hex register string (e.g.</w:t>
            </w:r>
          </w:p>
        </w:tc>
      </w:tr>
      <w:tr>
        <w:tc>
          <w:tcPr>
            <w:tcW w:type="dxa" w:w="5112"/>
            <w:vAlign w:val="top"/>
            <w:tcMar>
              <w:top w:w="70" w:type="dxa"/>
              <w:start w:w="90" w:type="dxa"/>
              <w:bottom w:w="70" w:type="dxa"/>
              <w:end w:w="90" w:type="dxa"/>
            </w:tcMar>
          </w:tcPr>
          <w:p>
            <w:r>
              <w:t>fault_summary</w:t>
            </w:r>
          </w:p>
        </w:tc>
        <w:tc>
          <w:tcPr>
            <w:tcW w:type="dxa" w:w="5112"/>
            <w:vAlign w:val="top"/>
            <w:tcMar>
              <w:top w:w="70" w:type="dxa"/>
              <w:start w:w="90" w:type="dxa"/>
              <w:bottom w:w="70" w:type="dxa"/>
              <w:end w:w="90" w:type="dxa"/>
            </w:tcMar>
          </w:tcPr>
          <w:p>
            <w:r>
              <w:t>Return a compact multi-line summary string for logging / PDF headers.</w:t>
            </w:r>
          </w:p>
        </w:tc>
      </w:tr>
      <w:tr>
        <w:tc>
          <w:tcPr>
            <w:tcW w:type="dxa" w:w="5112"/>
            <w:vAlign w:val="top"/>
            <w:tcMar>
              <w:top w:w="70" w:type="dxa"/>
              <w:start w:w="90" w:type="dxa"/>
              <w:bottom w:w="70" w:type="dxa"/>
              <w:end w:w="90" w:type="dxa"/>
            </w:tcMar>
          </w:tcPr>
          <w:p>
            <w:r>
              <w:t>active_bits</w:t>
            </w:r>
          </w:p>
        </w:tc>
        <w:tc>
          <w:tcPr>
            <w:tcW w:type="dxa" w:w="5112"/>
            <w:vAlign w:val="top"/>
            <w:tcMar>
              <w:top w:w="70" w:type="dxa"/>
              <w:start w:w="90" w:type="dxa"/>
              <w:bottom w:w="70" w:type="dxa"/>
              <w:end w:w="90" w:type="dxa"/>
            </w:tcMar>
          </w:tcPr>
          <w:p>
            <w:r>
              <w:t>Return list of set bit positions in a hex register string.</w:t>
            </w:r>
          </w:p>
        </w:tc>
      </w:tr>
      <w:tr>
        <w:tc>
          <w:tcPr>
            <w:tcW w:type="dxa" w:w="5112"/>
            <w:vAlign w:val="top"/>
            <w:tcMar>
              <w:top w:w="70" w:type="dxa"/>
              <w:start w:w="90" w:type="dxa"/>
              <w:bottom w:w="70" w:type="dxa"/>
              <w:end w:w="90" w:type="dxa"/>
            </w:tcMar>
          </w:tcPr>
          <w:p>
            <w:r>
              <w:t>_strip_prefix</w:t>
            </w:r>
          </w:p>
        </w:tc>
        <w:tc>
          <w:tcPr>
            <w:tcW w:type="dxa" w:w="5112"/>
            <w:vAlign w:val="top"/>
            <w:tcMar>
              <w:top w:w="70" w:type="dxa"/>
              <w:start w:w="90" w:type="dxa"/>
              <w:bottom w:w="70" w:type="dxa"/>
              <w:end w:w="90" w:type="dxa"/>
            </w:tcMar>
          </w:tcPr>
          <w:p>
            <w:r>
              <w:t>Strip a leading '#XXX:' echo prefix if present.</w:t>
            </w:r>
          </w:p>
        </w:tc>
      </w:tr>
      <w:tr>
        <w:tc>
          <w:tcPr>
            <w:tcW w:type="dxa" w:w="5112"/>
            <w:vAlign w:val="top"/>
            <w:tcMar>
              <w:top w:w="70" w:type="dxa"/>
              <w:start w:w="90" w:type="dxa"/>
              <w:bottom w:w="70" w:type="dxa"/>
              <w:end w:w="90" w:type="dxa"/>
            </w:tcMar>
          </w:tcPr>
          <w:p>
            <w:r>
              <w:t>_cli</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bl>
    <w:p>
      <w:pPr>
        <w:pStyle w:val="Heading2"/>
      </w:pPr>
      <w:r>
        <w:t>cdcu_ripple_analyzer.py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find_latest_cdcu_csv</w:t>
            </w:r>
          </w:p>
        </w:tc>
        <w:tc>
          <w:tcPr>
            <w:tcW w:type="dxa" w:w="5112"/>
            <w:vAlign w:val="top"/>
            <w:tcMar>
              <w:top w:w="70" w:type="dxa"/>
              <w:start w:w="90" w:type="dxa"/>
              <w:bottom w:w="70" w:type="dxa"/>
              <w:end w:w="90" w:type="dxa"/>
            </w:tcMar>
          </w:tcPr>
          <w:p>
            <w:r>
              <w:t>Walk *root* and return the most recently modified CDCU CSV.</w:t>
            </w:r>
          </w:p>
        </w:tc>
      </w:tr>
      <w:tr>
        <w:tc>
          <w:tcPr>
            <w:tcW w:type="dxa" w:w="5112"/>
            <w:vAlign w:val="top"/>
            <w:tcMar>
              <w:top w:w="70" w:type="dxa"/>
              <w:start w:w="90" w:type="dxa"/>
              <w:bottom w:w="70" w:type="dxa"/>
              <w:end w:w="90" w:type="dxa"/>
            </w:tcMar>
          </w:tcPr>
          <w:p>
            <w:r>
              <w:t>read_cdcu_csv</w:t>
            </w:r>
          </w:p>
        </w:tc>
        <w:tc>
          <w:tcPr>
            <w:tcW w:type="dxa" w:w="5112"/>
            <w:vAlign w:val="top"/>
            <w:tcMar>
              <w:top w:w="70" w:type="dxa"/>
              <w:start w:w="90" w:type="dxa"/>
              <w:bottom w:w="70" w:type="dxa"/>
              <w:end w:w="90" w:type="dxa"/>
            </w:tcMar>
          </w:tcPr>
          <w:p>
            <w:r>
              <w:t>Read a cdcu_monitor.py CSV.</w:t>
            </w:r>
          </w:p>
        </w:tc>
      </w:tr>
      <w:tr>
        <w:tc>
          <w:tcPr>
            <w:tcW w:type="dxa" w:w="5112"/>
            <w:vAlign w:val="top"/>
            <w:tcMar>
              <w:top w:w="70" w:type="dxa"/>
              <w:start w:w="90" w:type="dxa"/>
              <w:bottom w:w="70" w:type="dxa"/>
              <w:end w:w="90" w:type="dxa"/>
            </w:tcMar>
          </w:tcPr>
          <w:p>
            <w:r>
              <w:t>_ppm_ref</w:t>
            </w:r>
          </w:p>
        </w:tc>
        <w:tc>
          <w:tcPr>
            <w:tcW w:type="dxa" w:w="5112"/>
            <w:vAlign w:val="top"/>
            <w:tcMar>
              <w:top w:w="70" w:type="dxa"/>
              <w:start w:w="90" w:type="dxa"/>
              <w:bottom w:w="70" w:type="dxa"/>
              <w:end w:w="90" w:type="dxa"/>
            </w:tcMar>
          </w:tcPr>
          <w:p>
            <w:r>
              <w:t>Return a ppm reference value for *col*.</w:t>
            </w:r>
          </w:p>
        </w:tc>
      </w:tr>
      <w:tr>
        <w:tc>
          <w:tcPr>
            <w:tcW w:type="dxa" w:w="5112"/>
            <w:vAlign w:val="top"/>
            <w:tcMar>
              <w:top w:w="70" w:type="dxa"/>
              <w:start w:w="90" w:type="dxa"/>
              <w:bottom w:w="70" w:type="dxa"/>
              <w:end w:w="90" w:type="dxa"/>
            </w:tcMar>
          </w:tcPr>
          <w:p>
            <w:r>
              <w:t>analyze</w:t>
            </w:r>
          </w:p>
        </w:tc>
        <w:tc>
          <w:tcPr>
            <w:tcW w:type="dxa" w:w="5112"/>
            <w:vAlign w:val="top"/>
            <w:tcMar>
              <w:top w:w="70" w:type="dxa"/>
              <w:start w:w="90" w:type="dxa"/>
              <w:bottom w:w="70" w:type="dxa"/>
              <w:end w:w="90" w:type="dxa"/>
            </w:tcMar>
          </w:tcPr>
          <w:p>
            <w:r>
              <w:t>Analyze a cdcu_monitor.py CSV.</w:t>
            </w:r>
          </w:p>
        </w:tc>
      </w:tr>
      <w:tr>
        <w:tc>
          <w:tcPr>
            <w:tcW w:type="dxa" w:w="5112"/>
            <w:vAlign w:val="top"/>
            <w:tcMar>
              <w:top w:w="70" w:type="dxa"/>
              <w:start w:w="90" w:type="dxa"/>
              <w:bottom w:w="70" w:type="dxa"/>
              <w:end w:w="90" w:type="dxa"/>
            </w:tcMar>
          </w:tcPr>
          <w:p>
            <w:r>
              <w:t>main</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bl>
    <w:p>
      <w:pPr>
        <w:pStyle w:val="Heading2"/>
      </w:pPr>
      <w:r>
        <w:t>cdcu_ripple_io.py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read_ps_ripple_metadata</w:t>
            </w:r>
          </w:p>
        </w:tc>
        <w:tc>
          <w:tcPr>
            <w:tcW w:type="dxa" w:w="5112"/>
            <w:vAlign w:val="top"/>
            <w:tcMar>
              <w:top w:w="70" w:type="dxa"/>
              <w:start w:w="90" w:type="dxa"/>
              <w:bottom w:w="70" w:type="dxa"/>
              <w:end w:w="90" w:type="dxa"/>
            </w:tcMar>
          </w:tcPr>
          <w:p>
            <w:r>
              <w:t>Read '# key = value' metadata lines from the top of a PS_RIPPLE_CSV v1 file.</w:t>
            </w:r>
          </w:p>
        </w:tc>
      </w:tr>
      <w:tr>
        <w:tc>
          <w:tcPr>
            <w:tcW w:type="dxa" w:w="5112"/>
            <w:vAlign w:val="top"/>
            <w:tcMar>
              <w:top w:w="70" w:type="dxa"/>
              <w:start w:w="90" w:type="dxa"/>
              <w:bottom w:w="70" w:type="dxa"/>
              <w:end w:w="90" w:type="dxa"/>
            </w:tcMar>
          </w:tcPr>
          <w:p>
            <w:r>
              <w:t>write_ps_ripple_csv</w:t>
            </w:r>
          </w:p>
        </w:tc>
        <w:tc>
          <w:tcPr>
            <w:tcW w:type="dxa" w:w="5112"/>
            <w:vAlign w:val="top"/>
            <w:tcMar>
              <w:top w:w="70" w:type="dxa"/>
              <w:start w:w="90" w:type="dxa"/>
              <w:bottom w:w="70" w:type="dxa"/>
              <w:end w:w="90" w:type="dxa"/>
            </w:tcMar>
          </w:tcPr>
          <w:p>
            <w:r>
              <w:t>Write PS_RIPPLE_CSV v1: - metadata as '# key = value' - blank separator line - header row and numeric data rows All data columns must have the same length as time_s.</w:t>
            </w:r>
          </w:p>
        </w:tc>
      </w:tr>
    </w:tbl>
    <w:p>
      <w:pPr>
        <w:pStyle w:val="Heading2"/>
      </w:pPr>
      <w:r>
        <w:t>cdcu_ripple_pdf.py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_safe_draw_image</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_draw_footer</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_draw_header</w:t>
            </w:r>
          </w:p>
        </w:tc>
        <w:tc>
          <w:tcPr>
            <w:tcW w:type="dxa" w:w="5112"/>
            <w:vAlign w:val="top"/>
            <w:tcMar>
              <w:top w:w="70" w:type="dxa"/>
              <w:start w:w="90" w:type="dxa"/>
              <w:bottom w:w="70" w:type="dxa"/>
              <w:end w:w="90" w:type="dxa"/>
            </w:tcMar>
          </w:tcPr>
          <w:p>
            <w:r>
              <w:t>Draw the page 1 header block including load map data and serial number.</w:t>
            </w:r>
          </w:p>
        </w:tc>
      </w:tr>
      <w:tr>
        <w:tc>
          <w:tcPr>
            <w:tcW w:type="dxa" w:w="5112"/>
            <w:vAlign w:val="top"/>
            <w:tcMar>
              <w:top w:w="70" w:type="dxa"/>
              <w:start w:w="90" w:type="dxa"/>
              <w:bottom w:w="70" w:type="dxa"/>
              <w:end w:w="90" w:type="dxa"/>
            </w:tcMar>
          </w:tcPr>
          <w:p>
            <w:r>
              <w:t>_draw_load_map_block</w:t>
            </w:r>
          </w:p>
        </w:tc>
        <w:tc>
          <w:tcPr>
            <w:tcW w:type="dxa" w:w="5112"/>
            <w:vAlign w:val="top"/>
            <w:tcMar>
              <w:top w:w="70" w:type="dxa"/>
              <w:start w:w="90" w:type="dxa"/>
              <w:bottom w:w="70" w:type="dxa"/>
              <w:end w:w="90" w:type="dxa"/>
            </w:tcMar>
          </w:tcPr>
          <w:p>
            <w:r>
              <w:t>Draw a compact load map identity + Fs advisory box above the Band RMS table on each per-channel detail page.</w:t>
            </w:r>
          </w:p>
        </w:tc>
      </w:tr>
      <w:tr>
        <w:tc>
          <w:tcPr>
            <w:tcW w:type="dxa" w:w="5112"/>
            <w:vAlign w:val="top"/>
            <w:tcMar>
              <w:top w:w="70" w:type="dxa"/>
              <w:start w:w="90" w:type="dxa"/>
              <w:bottom w:w="70" w:type="dxa"/>
              <w:end w:w="90" w:type="dxa"/>
            </w:tcMar>
          </w:tcPr>
          <w:p>
            <w:r>
              <w:t>_draw_band_table</w:t>
            </w:r>
          </w:p>
        </w:tc>
        <w:tc>
          <w:tcPr>
            <w:tcW w:type="dxa" w:w="5112"/>
            <w:vAlign w:val="top"/>
            <w:tcMar>
              <w:top w:w="70" w:type="dxa"/>
              <w:start w:w="90" w:type="dxa"/>
              <w:bottom w:w="70" w:type="dxa"/>
              <w:end w:w="90" w:type="dxa"/>
            </w:tcMar>
          </w:tcPr>
          <w:p>
            <w:r>
              <w:t>Draw a compact per-channel band RMS table.</w:t>
            </w:r>
          </w:p>
        </w:tc>
      </w:tr>
      <w:tr>
        <w:tc>
          <w:tcPr>
            <w:tcW w:type="dxa" w:w="5112"/>
            <w:vAlign w:val="top"/>
            <w:tcMar>
              <w:top w:w="70" w:type="dxa"/>
              <w:start w:w="90" w:type="dxa"/>
              <w:bottom w:w="70" w:type="dxa"/>
              <w:end w:w="90" w:type="dxa"/>
            </w:tcMar>
          </w:tcPr>
          <w:p>
            <w:r>
              <w:t>_draw_diagnostics_block</w:t>
            </w:r>
          </w:p>
        </w:tc>
        <w:tc>
          <w:tcPr>
            <w:tcW w:type="dxa" w:w="5112"/>
            <w:vAlign w:val="top"/>
            <w:tcMar>
              <w:top w:w="70" w:type="dxa"/>
              <w:start w:w="90" w:type="dxa"/>
              <w:bottom w:w="70" w:type="dxa"/>
              <w:end w:w="90" w:type="dxa"/>
            </w:tcMar>
          </w:tcPr>
          <w:p>
            <w:r>
              <w:t>Draw the power-balance diagnostics summary block (model, eta_reference, mean IBUS %Error, efficiency-health verdict, fault-event count) sourced from cdcu_monitor.py's per-run CSV metadata / meta dict.</w:t>
            </w:r>
          </w:p>
        </w:tc>
      </w:tr>
      <w:tr>
        <w:tc>
          <w:tcPr>
            <w:tcW w:type="dxa" w:w="5112"/>
            <w:vAlign w:val="top"/>
            <w:tcMar>
              <w:top w:w="70" w:type="dxa"/>
              <w:start w:w="90" w:type="dxa"/>
              <w:bottom w:w="70" w:type="dxa"/>
              <w:end w:w="90" w:type="dxa"/>
            </w:tcMar>
          </w:tcPr>
          <w:p>
            <w:r>
              <w:t>build_pdf_summary</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_sig_lines_for_results</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build_technical_worksheet</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_build_worksheet_docx</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_build_worksheet_pdf</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r>
        <w:tc>
          <w:tcPr>
            <w:tcW w:type="dxa" w:w="5112"/>
            <w:vAlign w:val="top"/>
            <w:tcMar>
              <w:top w:w="70" w:type="dxa"/>
              <w:start w:w="90" w:type="dxa"/>
              <w:bottom w:w="70" w:type="dxa"/>
              <w:end w:w="90" w:type="dxa"/>
            </w:tcMar>
          </w:tcPr>
          <w:p>
            <w:r>
              <w:t>build_combined_pdf</w:t>
            </w:r>
          </w:p>
        </w:tc>
        <w:tc>
          <w:tcPr>
            <w:tcW w:type="dxa" w:w="5112"/>
            <w:vAlign w:val="top"/>
            <w:tcMar>
              <w:top w:w="70" w:type="dxa"/>
              <w:start w:w="90" w:type="dxa"/>
              <w:bottom w:w="70" w:type="dxa"/>
              <w:end w:w="90" w:type="dxa"/>
            </w:tcMar>
          </w:tcPr>
          <w:p>
            <w:r>
              <w:t>Build a single combined PDF with: Page 1 : Cover — identity block + run summary table Pages 2–N: PMM spectral analysis (FFT/PSD/bands at 10 kHz) per channel Pages N+1: Polling-based trend overview (band advisory) Last page: Tec...</w:t>
            </w:r>
          </w:p>
        </w:tc>
      </w:tr>
    </w:tbl>
    <w:p>
      <w:pPr>
        <w:pStyle w:val="Heading2"/>
      </w:pPr>
      <w:r>
        <w:t>cdcu_ripple_psd.py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parse_bands</w:t>
            </w:r>
          </w:p>
        </w:tc>
        <w:tc>
          <w:tcPr>
            <w:tcW w:type="dxa" w:w="5112"/>
            <w:vAlign w:val="top"/>
            <w:tcMar>
              <w:top w:w="70" w:type="dxa"/>
              <w:start w:w="90" w:type="dxa"/>
              <w:bottom w:w="70" w:type="dxa"/>
              <w:end w:w="90" w:type="dxa"/>
            </w:tcMar>
          </w:tcPr>
          <w:p>
            <w:r>
              <w:t>Parse compact band string '1-10:1-10 Hz,60-120:60-120 Hz,...'</w:t>
            </w:r>
          </w:p>
        </w:tc>
      </w:tr>
      <w:tr>
        <w:tc>
          <w:tcPr>
            <w:tcW w:type="dxa" w:w="5112"/>
            <w:vAlign w:val="top"/>
            <w:tcMar>
              <w:top w:w="70" w:type="dxa"/>
              <w:start w:w="90" w:type="dxa"/>
              <w:bottom w:w="70" w:type="dxa"/>
              <w:end w:w="90" w:type="dxa"/>
            </w:tcMar>
          </w:tcPr>
          <w:p>
            <w:r>
              <w:t>ppm</w:t>
            </w:r>
          </w:p>
        </w:tc>
        <w:tc>
          <w:tcPr>
            <w:tcW w:type="dxa" w:w="5112"/>
            <w:vAlign w:val="top"/>
            <w:tcMar>
              <w:top w:w="70" w:type="dxa"/>
              <w:start w:w="90" w:type="dxa"/>
              <w:bottom w:w="70" w:type="dxa"/>
              <w:end w:w="90" w:type="dxa"/>
            </w:tcMar>
          </w:tcPr>
          <w:p>
            <w:r>
              <w:t>Return x_rms / |ref| * 1e6, or None if ref is None/zero.</w:t>
            </w:r>
          </w:p>
        </w:tc>
      </w:tr>
      <w:tr>
        <w:tc>
          <w:tcPr>
            <w:tcW w:type="dxa" w:w="5112"/>
            <w:vAlign w:val="top"/>
            <w:tcMar>
              <w:top w:w="70" w:type="dxa"/>
              <w:start w:w="90" w:type="dxa"/>
              <w:bottom w:w="70" w:type="dxa"/>
              <w:end w:w="90" w:type="dxa"/>
            </w:tcMar>
          </w:tcPr>
          <w:p>
            <w:r>
              <w:t>load_trace_from_df</w:t>
            </w:r>
          </w:p>
        </w:tc>
        <w:tc>
          <w:tcPr>
            <w:tcW w:type="dxa" w:w="5112"/>
            <w:vAlign w:val="top"/>
            <w:tcMar>
              <w:top w:w="70" w:type="dxa"/>
              <w:start w:w="90" w:type="dxa"/>
              <w:bottom w:w="70" w:type="dxa"/>
              <w:end w:w="90" w:type="dxa"/>
            </w:tcMar>
          </w:tcPr>
          <w:p>
            <w:r>
              <w:t>Load a time-series from a DataFrame, applying an optional channel_scale factor (e.g.</w:t>
            </w:r>
          </w:p>
        </w:tc>
      </w:tr>
      <w:tr>
        <w:tc>
          <w:tcPr>
            <w:tcW w:type="dxa" w:w="5112"/>
            <w:vAlign w:val="top"/>
            <w:tcMar>
              <w:top w:w="70" w:type="dxa"/>
              <w:start w:w="90" w:type="dxa"/>
              <w:bottom w:w="70" w:type="dxa"/>
              <w:end w:w="90" w:type="dxa"/>
            </w:tcMar>
          </w:tcPr>
          <w:p>
            <w:r>
              <w:t>single_sided_fft_rms</w:t>
            </w:r>
          </w:p>
        </w:tc>
        <w:tc>
          <w:tcPr>
            <w:tcW w:type="dxa" w:w="5112"/>
            <w:vAlign w:val="top"/>
            <w:tcMar>
              <w:top w:w="70" w:type="dxa"/>
              <w:start w:w="90" w:type="dxa"/>
              <w:bottom w:w="70" w:type="dxa"/>
              <w:end w:w="90" w:type="dxa"/>
            </w:tcMar>
          </w:tcPr>
          <w:p>
            <w:r>
              <w:t>Compute a single-sided, window-corrected, RMS-normalised FFT.</w:t>
            </w:r>
          </w:p>
        </w:tc>
      </w:tr>
      <w:tr>
        <w:tc>
          <w:tcPr>
            <w:tcW w:type="dxa" w:w="5112"/>
            <w:vAlign w:val="top"/>
            <w:tcMar>
              <w:top w:w="70" w:type="dxa"/>
              <w:start w:w="90" w:type="dxa"/>
              <w:bottom w:w="70" w:type="dxa"/>
              <w:end w:w="90" w:type="dxa"/>
            </w:tcMar>
          </w:tcPr>
          <w:p>
            <w:r>
              <w:t>welch_psd</w:t>
            </w:r>
          </w:p>
        </w:tc>
        <w:tc>
          <w:tcPr>
            <w:tcW w:type="dxa" w:w="5112"/>
            <w:vAlign w:val="top"/>
            <w:tcMar>
              <w:top w:w="70" w:type="dxa"/>
              <w:start w:w="90" w:type="dxa"/>
              <w:bottom w:w="70" w:type="dxa"/>
              <w:end w:w="90" w:type="dxa"/>
            </w:tcMar>
          </w:tcPr>
          <w:p>
            <w:r>
              <w:t>Welch PSD estimate with safe overlap clamping.</w:t>
            </w:r>
          </w:p>
        </w:tc>
      </w:tr>
      <w:tr>
        <w:tc>
          <w:tcPr>
            <w:tcW w:type="dxa" w:w="5112"/>
            <w:vAlign w:val="top"/>
            <w:tcMar>
              <w:top w:w="70" w:type="dxa"/>
              <w:start w:w="90" w:type="dxa"/>
              <w:bottom w:w="70" w:type="dxa"/>
              <w:end w:w="90" w:type="dxa"/>
            </w:tcMar>
          </w:tcPr>
          <w:p>
            <w:r>
              <w:t>integrate_psd_rms</w:t>
            </w:r>
          </w:p>
        </w:tc>
        <w:tc>
          <w:tcPr>
            <w:tcW w:type="dxa" w:w="5112"/>
            <w:vAlign w:val="top"/>
            <w:tcMar>
              <w:top w:w="70" w:type="dxa"/>
              <w:start w:w="90" w:type="dxa"/>
              <w:bottom w:w="70" w:type="dxa"/>
              <w:end w:w="90" w:type="dxa"/>
            </w:tcMar>
          </w:tcPr>
          <w:p>
            <w:r>
              <w:t>RMS of a signal band computed from its PSD via trapezoidal integration.</w:t>
            </w:r>
          </w:p>
        </w:tc>
      </w:tr>
      <w:tr>
        <w:tc>
          <w:tcPr>
            <w:tcW w:type="dxa" w:w="5112"/>
            <w:vAlign w:val="top"/>
            <w:tcMar>
              <w:top w:w="70" w:type="dxa"/>
              <w:start w:w="90" w:type="dxa"/>
              <w:bottom w:w="70" w:type="dxa"/>
              <w:end w:w="90" w:type="dxa"/>
            </w:tcMar>
          </w:tcPr>
          <w:p>
            <w:r>
              <w:t>cumulative_integrated_power</w:t>
            </w:r>
          </w:p>
        </w:tc>
        <w:tc>
          <w:tcPr>
            <w:tcW w:type="dxa" w:w="5112"/>
            <w:vAlign w:val="top"/>
            <w:tcMar>
              <w:top w:w="70" w:type="dxa"/>
              <w:start w:w="90" w:type="dxa"/>
              <w:bottom w:w="70" w:type="dxa"/>
              <w:end w:w="90" w:type="dxa"/>
            </w:tcMar>
          </w:tcPr>
          <w:p>
            <w:r>
              <w:t>Cumulative integral of PSD -- equivalent to ripple_exec's np.cumsum(Ipower)*df.</w:t>
            </w:r>
          </w:p>
        </w:tc>
      </w:tr>
      <w:tr>
        <w:tc>
          <w:tcPr>
            <w:tcW w:type="dxa" w:w="5112"/>
            <w:vAlign w:val="top"/>
            <w:tcMar>
              <w:top w:w="70" w:type="dxa"/>
              <w:start w:w="90" w:type="dxa"/>
              <w:bottom w:w="70" w:type="dxa"/>
              <w:end w:w="90" w:type="dxa"/>
            </w:tcMar>
          </w:tcPr>
          <w:p>
            <w:r>
              <w:t>_style_axes_tdk</w:t>
            </w:r>
          </w:p>
        </w:tc>
        <w:tc>
          <w:tcPr>
            <w:tcW w:type="dxa" w:w="5112"/>
            <w:vAlign w:val="top"/>
            <w:tcMar>
              <w:top w:w="70" w:type="dxa"/>
              <w:start w:w="90" w:type="dxa"/>
              <w:bottom w:w="70" w:type="dxa"/>
              <w:end w:w="90" w:type="dxa"/>
            </w:tcMar>
          </w:tcPr>
          <w:p>
            <w:r>
              <w:t>Apply TDK-style major + minor grid.</w:t>
            </w:r>
          </w:p>
        </w:tc>
      </w:tr>
      <w:tr>
        <w:tc>
          <w:tcPr>
            <w:tcW w:type="dxa" w:w="5112"/>
            <w:vAlign w:val="top"/>
            <w:tcMar>
              <w:top w:w="70" w:type="dxa"/>
              <w:start w:w="90" w:type="dxa"/>
              <w:bottom w:w="70" w:type="dxa"/>
              <w:end w:w="90" w:type="dxa"/>
            </w:tcMar>
          </w:tcPr>
          <w:p>
            <w:r>
              <w:t>_auto_freq_limits_from_psd</w:t>
            </w:r>
          </w:p>
        </w:tc>
        <w:tc>
          <w:tcPr>
            <w:tcW w:type="dxa" w:w="5112"/>
            <w:vAlign w:val="top"/>
            <w:tcMar>
              <w:top w:w="70" w:type="dxa"/>
              <w:start w:w="90" w:type="dxa"/>
              <w:bottom w:w="70" w:type="dxa"/>
              <w:end w:w="90" w:type="dxa"/>
            </w:tcMar>
          </w:tcPr>
          <w:p>
            <w:r>
              <w:t>Detect meaningful x-axis span from PSD content.</w:t>
            </w:r>
          </w:p>
        </w:tc>
      </w:tr>
      <w:tr>
        <w:tc>
          <w:tcPr>
            <w:tcW w:type="dxa" w:w="5112"/>
            <w:vAlign w:val="top"/>
            <w:tcMar>
              <w:top w:w="70" w:type="dxa"/>
              <w:start w:w="90" w:type="dxa"/>
              <w:bottom w:w="70" w:type="dxa"/>
              <w:end w:w="90" w:type="dxa"/>
            </w:tcMar>
          </w:tcPr>
          <w:p>
            <w:r>
              <w:t>_max_point_in_band</w:t>
            </w:r>
          </w:p>
        </w:tc>
        <w:tc>
          <w:tcPr>
            <w:tcW w:type="dxa" w:w="5112"/>
            <w:vAlign w:val="top"/>
            <w:tcMar>
              <w:top w:w="70" w:type="dxa"/>
              <w:start w:w="90" w:type="dxa"/>
              <w:bottom w:w="70" w:type="dxa"/>
              <w:end w:w="90" w:type="dxa"/>
            </w:tcMar>
          </w:tcPr>
          <w:p>
            <w:r>
              <w:t>Return (x, y, idx) of the global maximum within [xmin, xmax], x &gt; 0.</w:t>
            </w:r>
          </w:p>
        </w:tc>
      </w:tr>
      <w:tr>
        <w:tc>
          <w:tcPr>
            <w:tcW w:type="dxa" w:w="5112"/>
            <w:vAlign w:val="top"/>
            <w:tcMar>
              <w:top w:w="70" w:type="dxa"/>
              <w:start w:w="90" w:type="dxa"/>
              <w:bottom w:w="70" w:type="dxa"/>
              <w:end w:w="90" w:type="dxa"/>
            </w:tcMar>
          </w:tcPr>
          <w:p>
            <w:r>
              <w:t>_top_n_peaks_in_band</w:t>
            </w:r>
          </w:p>
        </w:tc>
        <w:tc>
          <w:tcPr>
            <w:tcW w:type="dxa" w:w="5112"/>
            <w:vAlign w:val="top"/>
            <w:tcMar>
              <w:top w:w="70" w:type="dxa"/>
              <w:start w:w="90" w:type="dxa"/>
              <w:bottom w:w="70" w:type="dxa"/>
              <w:end w:w="90" w:type="dxa"/>
            </w:tcMar>
          </w:tcPr>
          <w:p>
            <w:r>
              <w:t>Return up to *n* (x, y, idx) tuples of the highest y values within [xmin, xmax], sorted descending.</w:t>
            </w:r>
          </w:p>
        </w:tc>
      </w:tr>
      <w:tr>
        <w:tc>
          <w:tcPr>
            <w:tcW w:type="dxa" w:w="5112"/>
            <w:vAlign w:val="top"/>
            <w:tcMar>
              <w:top w:w="70" w:type="dxa"/>
              <w:start w:w="90" w:type="dxa"/>
              <w:bottom w:w="70" w:type="dxa"/>
              <w:end w:w="90" w:type="dxa"/>
            </w:tcMar>
          </w:tcPr>
          <w:p>
            <w:r>
              <w:t>_annotate_bands</w:t>
            </w:r>
          </w:p>
        </w:tc>
        <w:tc>
          <w:tcPr>
            <w:tcW w:type="dxa" w:w="5112"/>
            <w:vAlign w:val="top"/>
            <w:tcMar>
              <w:top w:w="70" w:type="dxa"/>
              <w:start w:w="90" w:type="dxa"/>
              <w:bottom w:w="70" w:type="dxa"/>
              <w:end w:w="90" w:type="dxa"/>
            </w:tcMar>
          </w:tcPr>
          <w:p>
            <w:r>
              <w:t>Shade each analysis band with a distinct colour and legend entry.</w:t>
            </w:r>
          </w:p>
        </w:tc>
      </w:tr>
      <w:tr>
        <w:tc>
          <w:tcPr>
            <w:tcW w:type="dxa" w:w="5112"/>
            <w:vAlign w:val="top"/>
            <w:tcMar>
              <w:top w:w="70" w:type="dxa"/>
              <w:start w:w="90" w:type="dxa"/>
              <w:bottom w:w="70" w:type="dxa"/>
              <w:end w:w="90" w:type="dxa"/>
            </w:tcMar>
          </w:tcPr>
          <w:p>
            <w:r>
              <w:t>_add_figure_footer</w:t>
            </w:r>
          </w:p>
        </w:tc>
        <w:tc>
          <w:tcPr>
            <w:tcW w:type="dxa" w:w="5112"/>
            <w:vAlign w:val="top"/>
            <w:tcMar>
              <w:top w:w="70" w:type="dxa"/>
              <w:start w:w="90" w:type="dxa"/>
              <w:bottom w:w="70" w:type="dxa"/>
              <w:end w:w="90" w:type="dxa"/>
            </w:tcMar>
          </w:tcPr>
          <w:p>
            <w:r>
              <w:t>Add generation timestamp (lower-left) and optional logo inset (lower-right).</w:t>
            </w:r>
          </w:p>
        </w:tc>
      </w:tr>
      <w:tr>
        <w:tc>
          <w:tcPr>
            <w:tcW w:type="dxa" w:w="5112"/>
            <w:vAlign w:val="top"/>
            <w:tcMar>
              <w:top w:w="70" w:type="dxa"/>
              <w:start w:w="90" w:type="dxa"/>
              <w:bottom w:w="70" w:type="dxa"/>
              <w:end w:w="90" w:type="dxa"/>
            </w:tcMar>
          </w:tcPr>
          <w:p>
            <w:r>
              <w:t>plot_fft_tdk</w:t>
            </w:r>
          </w:p>
        </w:tc>
        <w:tc>
          <w:tcPr>
            <w:tcW w:type="dxa" w:w="5112"/>
            <w:vAlign w:val="top"/>
            <w:tcMar>
              <w:top w:w="70" w:type="dxa"/>
              <w:start w:w="90" w:type="dxa"/>
              <w:bottom w:w="70" w:type="dxa"/>
              <w:end w:w="90" w:type="dxa"/>
            </w:tcMar>
          </w:tcPr>
          <w:p>
            <w:r>
              <w:t>Primary FFT graphic. Draws a linear-frequency filled spectrum, reports dominant components, and summarizes DC reference, total ripple, percent, ppm, and the dominant integrated frequency band.</w:t>
            </w:r>
          </w:p>
        </w:tc>
      </w:tr>
      <w:tr>
        <w:tc>
          <w:tcPr>
            <w:tcW w:type="dxa" w:w="5112"/>
            <w:vAlign w:val="top"/>
            <w:tcMar>
              <w:top w:w="70" w:type="dxa"/>
              <w:start w:w="90" w:type="dxa"/>
              <w:bottom w:w="70" w:type="dxa"/>
              <w:end w:w="90" w:type="dxa"/>
            </w:tcMar>
          </w:tcPr>
          <w:p>
            <w:r>
              <w:t>plot_psd_tdk</w:t>
            </w:r>
          </w:p>
        </w:tc>
        <w:tc>
          <w:tcPr>
            <w:tcW w:type="dxa" w:w="5112"/>
            <w:vAlign w:val="top"/>
            <w:tcMar>
              <w:top w:w="70" w:type="dxa"/>
              <w:start w:w="90" w:type="dxa"/>
              <w:bottom w:w="70" w:type="dxa"/>
              <w:end w:w="90" w:type="dxa"/>
            </w:tcMar>
          </w:tcPr>
          <w:p>
            <w:r>
              <w:t>PSD plot (log-log) with single MAX arrowhead callout and optional band shading.</w:t>
            </w:r>
          </w:p>
        </w:tc>
      </w:tr>
      <w:tr>
        <w:tc>
          <w:tcPr>
            <w:tcW w:type="dxa" w:w="5112"/>
            <w:vAlign w:val="top"/>
            <w:tcMar>
              <w:top w:w="70" w:type="dxa"/>
              <w:start w:w="90" w:type="dxa"/>
              <w:bottom w:w="70" w:type="dxa"/>
              <w:end w:w="90" w:type="dxa"/>
            </w:tcMar>
          </w:tcPr>
          <w:p>
            <w:r>
              <w:t>plot_integrated_power_tdk</w:t>
            </w:r>
          </w:p>
        </w:tc>
        <w:tc>
          <w:tcPr>
            <w:tcW w:type="dxa" w:w="5112"/>
            <w:vAlign w:val="top"/>
            <w:tcMar>
              <w:top w:w="70" w:type="dxa"/>
              <w:start w:w="90" w:type="dxa"/>
              <w:bottom w:w="70" w:type="dxa"/>
              <w:end w:w="90" w:type="dxa"/>
            </w:tcMar>
          </w:tcPr>
          <w:p>
            <w:r>
              <w:t>Cumulative integrated power plot (log-log) with text summary and optional load description at the lower position -- matching ripple_exec.py ax3 layout: ax3.text(0.02, 0.95, ...) &lt;- integrated metrics (upper-left) ax3.text(0.22,...</w:t>
            </w:r>
          </w:p>
        </w:tc>
      </w:tr>
      <w:tr>
        <w:tc>
          <w:tcPr>
            <w:tcW w:type="dxa" w:w="5112"/>
            <w:vAlign w:val="top"/>
            <w:tcMar>
              <w:top w:w="70" w:type="dxa"/>
              <w:start w:w="90" w:type="dxa"/>
              <w:bottom w:w="70" w:type="dxa"/>
              <w:end w:w="90" w:type="dxa"/>
            </w:tcMar>
          </w:tcPr>
          <w:p>
            <w:r>
              <w:t>plot_composite_report</w:t>
            </w:r>
          </w:p>
        </w:tc>
        <w:tc>
          <w:tcPr>
            <w:tcW w:type="dxa" w:w="5112"/>
            <w:vAlign w:val="top"/>
            <w:tcMar>
              <w:top w:w="70" w:type="dxa"/>
              <w:start w:w="90" w:type="dxa"/>
              <w:bottom w:w="70" w:type="dxa"/>
              <w:end w:w="90" w:type="dxa"/>
            </w:tcMar>
          </w:tcPr>
          <w:p>
            <w:r>
              <w:t>Builds the single-page spectral report. The top panel uses the filled linear FFT first-look view; PSD and cumulative integrated ripple remain the detailed power-distribution views.</w:t>
            </w:r>
          </w:p>
        </w:tc>
      </w:tr>
      <w:tr>
        <w:tc>
          <w:tcPr>
            <w:tcW w:type="dxa" w:w="5112"/>
            <w:vAlign w:val="top"/>
            <w:tcMar>
              <w:top w:w="70" w:type="dxa"/>
              <w:start w:w="90" w:type="dxa"/>
              <w:bottom w:w="70" w:type="dxa"/>
              <w:end w:w="90" w:type="dxa"/>
            </w:tcMar>
          </w:tcPr>
          <w:p>
            <w:r>
              <w:t>analyze_series_for_reports</w:t>
            </w:r>
          </w:p>
        </w:tc>
        <w:tc>
          <w:tcPr>
            <w:tcW w:type="dxa" w:w="5112"/>
            <w:vAlign w:val="top"/>
            <w:tcMar>
              <w:top w:w="70" w:type="dxa"/>
              <w:start w:w="90" w:type="dxa"/>
              <w:bottom w:w="70" w:type="dxa"/>
              <w:end w:w="90" w:type="dxa"/>
            </w:tcMar>
          </w:tcPr>
          <w:p>
            <w:r>
              <w:t>Full FFT/PSD analysis for one channel.</w:t>
            </w:r>
          </w:p>
        </w:tc>
      </w:tr>
      <w:tr>
        <w:tc>
          <w:tcPr>
            <w:tcW w:type="dxa" w:w="5112"/>
          </w:tcPr>
          <w:p>
            <w:r>
              <w:t>_fft_display_scale</w:t>
            </w:r>
          </w:p>
        </w:tc>
        <w:tc>
          <w:tcPr>
            <w:tcW w:type="dxa" w:w="5112"/>
          </w:tcPr>
          <w:p>
            <w:r>
              <w:t>Converts FFT RMS magnitude to the selected display basis: physical engineering units, percent, or ppm. Physical current/voltage automatically uses mA/mV for sub-unit spectra.</w:t>
            </w:r>
          </w:p>
        </w:tc>
      </w:tr>
      <w:tr>
        <w:tc>
          <w:tcPr>
            <w:tcW w:type="dxa" w:w="5112"/>
          </w:tcPr>
          <w:p>
            <w:r>
              <w:t>_dominant_band_summary</w:t>
            </w:r>
          </w:p>
        </w:tc>
        <w:tc>
          <w:tcPr>
            <w:tcW w:type="dxa" w:w="5112"/>
          </w:tcPr>
          <w:p>
            <w:r>
              <w:t>Returns the integrated frequency band with the largest RMS contribution for the first-look FFT summary box.</w:t>
            </w:r>
          </w:p>
        </w:tc>
      </w:tr>
    </w:tbl>
    <w:p>
      <w:pPr>
        <w:pStyle w:val="Heading2"/>
      </w:pPr>
      <w:r>
        <w:t>one_liners.py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top"/>
            <w:tcMar>
              <w:top w:w="70" w:type="dxa"/>
              <w:start w:w="90" w:type="dxa"/>
              <w:bottom w:w="70" w:type="dxa"/>
              <w:end w:w="90" w:type="dxa"/>
            </w:tcMar>
          </w:tcPr>
          <w:p>
            <w:r>
              <w:t>Function / Class</w:t>
            </w:r>
          </w:p>
        </w:tc>
        <w:tc>
          <w:tcPr>
            <w:tcW w:type="dxa" w:w="5112"/>
            <w:shd w:fill="D9EAF7"/>
            <w:vAlign w:val="top"/>
            <w:tcMar>
              <w:top w:w="70" w:type="dxa"/>
              <w:start w:w="90" w:type="dxa"/>
              <w:bottom w:w="70" w:type="dxa"/>
              <w:end w:w="90" w:type="dxa"/>
            </w:tcMar>
          </w:tcPr>
          <w:p>
            <w:r>
              <w:t>Engineering responsibility</w:t>
            </w:r>
          </w:p>
        </w:tc>
      </w:tr>
      <w:tr>
        <w:tc>
          <w:tcPr>
            <w:tcW w:type="dxa" w:w="5112"/>
            <w:vAlign w:val="top"/>
            <w:tcMar>
              <w:top w:w="70" w:type="dxa"/>
              <w:start w:w="90" w:type="dxa"/>
              <w:bottom w:w="70" w:type="dxa"/>
              <w:end w:w="90" w:type="dxa"/>
            </w:tcMar>
          </w:tcPr>
          <w:p>
            <w:r>
              <w:t>probe_ip</w:t>
            </w:r>
          </w:p>
        </w:tc>
        <w:tc>
          <w:tcPr>
            <w:tcW w:type="dxa" w:w="5112"/>
            <w:vAlign w:val="top"/>
            <w:tcMar>
              <w:top w:w="70" w:type="dxa"/>
              <w:start w:w="90" w:type="dxa"/>
              <w:bottom w:w="70" w:type="dxa"/>
              <w:end w:w="90" w:type="dxa"/>
            </w:tcMar>
          </w:tcPr>
          <w:p>
            <w:r>
              <w:t>Return True if a TCP connection to ip:port succeeds within *timeout* s.</w:t>
            </w:r>
          </w:p>
        </w:tc>
      </w:tr>
      <w:tr>
        <w:tc>
          <w:tcPr>
            <w:tcW w:type="dxa" w:w="5112"/>
            <w:vAlign w:val="top"/>
            <w:tcMar>
              <w:top w:w="70" w:type="dxa"/>
              <w:start w:w="90" w:type="dxa"/>
              <w:bottom w:w="70" w:type="dxa"/>
              <w:end w:w="90" w:type="dxa"/>
            </w:tcMar>
          </w:tcPr>
          <w:p>
            <w:r>
              <w:t>resolve_ips</w:t>
            </w:r>
          </w:p>
        </w:tc>
        <w:tc>
          <w:tcPr>
            <w:tcW w:type="dxa" w:w="5112"/>
            <w:vAlign w:val="top"/>
            <w:tcMar>
              <w:top w:w="70" w:type="dxa"/>
              <w:start w:w="90" w:type="dxa"/>
              <w:bottom w:w="70" w:type="dxa"/>
              <w:end w:w="90" w:type="dxa"/>
            </w:tcMar>
          </w:tcPr>
          <w:p>
            <w:r>
              <w:t>Return a list of (ip, load_entry) tuples for the cabinet.</w:t>
            </w:r>
          </w:p>
        </w:tc>
      </w:tr>
      <w:tr>
        <w:tc>
          <w:tcPr>
            <w:tcW w:type="dxa" w:w="5112"/>
            <w:vAlign w:val="top"/>
            <w:tcMar>
              <w:top w:w="70" w:type="dxa"/>
              <w:start w:w="90" w:type="dxa"/>
              <w:bottom w:w="70" w:type="dxa"/>
              <w:end w:w="90" w:type="dxa"/>
            </w:tcMar>
          </w:tcPr>
          <w:p>
            <w:r>
              <w:t>build_command</w:t>
            </w:r>
          </w:p>
        </w:tc>
        <w:tc>
          <w:tcPr>
            <w:tcW w:type="dxa" w:w="5112"/>
            <w:vAlign w:val="top"/>
            <w:tcMar>
              <w:top w:w="70" w:type="dxa"/>
              <w:start w:w="90" w:type="dxa"/>
              <w:bottom w:w="70" w:type="dxa"/>
              <w:end w:w="90" w:type="dxa"/>
            </w:tcMar>
          </w:tcPr>
          <w:p>
            <w:r>
              <w:t>Build the argv list for one cdcu_monitor.py invocation.</w:t>
            </w:r>
          </w:p>
        </w:tc>
      </w:tr>
      <w:tr>
        <w:tc>
          <w:tcPr>
            <w:tcW w:type="dxa" w:w="5112"/>
            <w:vAlign w:val="top"/>
            <w:tcMar>
              <w:top w:w="70" w:type="dxa"/>
              <w:start w:w="90" w:type="dxa"/>
              <w:bottom w:w="70" w:type="dxa"/>
              <w:end w:w="90" w:type="dxa"/>
            </w:tcMar>
          </w:tcPr>
          <w:p>
            <w:r>
              <w:t>main</w:t>
            </w:r>
          </w:p>
        </w:tc>
        <w:tc>
          <w:tcPr>
            <w:tcW w:type="dxa" w:w="5112"/>
            <w:vAlign w:val="top"/>
            <w:tcMar>
              <w:top w:w="70" w:type="dxa"/>
              <w:start w:w="90" w:type="dxa"/>
              <w:bottom w:w="70" w:type="dxa"/>
              <w:end w:w="90" w:type="dxa"/>
            </w:tcMar>
          </w:tcPr>
          <w:p>
            <w:r>
              <w:t>Supports the module workflow shown in the execution sequence; see the in-code comments for statement-level behavior.</w:t>
            </w:r>
          </w:p>
        </w:tc>
      </w:tr>
    </w:tbl>
    <w:p>
      <w:pPr>
        <w:pStyle w:val="Heading1"/>
      </w:pPr>
      <w:r>
        <w:t>11. Operating Recipes</w:t>
      </w:r>
    </w:p>
    <w:p>
      <w:pPr>
        <w:pStyle w:val="Heading2"/>
      </w:pPr>
      <w:r>
        <w:t>11.1 One live CDCU</w:t>
      </w:r>
    </w:p>
    <w:p>
      <w:pPr>
        <w:spacing w:before="60" w:after="60"/>
        <w:ind w:left="360"/>
      </w:pPr>
      <w:r>
        <w:rPr>
          <w:rFonts w:ascii="Consolas" w:hAnsi="Consolas"/>
          <w:sz w:val="17"/>
        </w:rPr>
        <w:t>python3 cdcu_monitor.py --host 192.168.x.x --cabinet Test_1 --sector B400A --duration 120 --outdir ./cdcu_logs</w:t>
        <w:br/>
      </w:r>
    </w:p>
    <w:p>
      <w:pPr>
        <w:pStyle w:val="Heading2"/>
      </w:pPr>
      <w:r>
        <w:t>11.2 Headless logging</w:t>
      </w:r>
    </w:p>
    <w:p>
      <w:pPr>
        <w:spacing w:before="60" w:after="60"/>
        <w:ind w:left="360"/>
      </w:pPr>
      <w:r>
        <w:rPr>
          <w:rFonts w:ascii="Consolas" w:hAnsi="Consolas"/>
          <w:sz w:val="17"/>
        </w:rPr>
        <w:t>python3 cdcu_monitor.py --host 192.168.x.x --no-plot --outdir ./cdcu_logs</w:t>
        <w:br/>
      </w:r>
    </w:p>
    <w:p>
      <w:pPr>
        <w:pStyle w:val="Heading2"/>
      </w:pPr>
      <w:r>
        <w:t>11.3 Log without final ripple analysis</w:t>
      </w:r>
    </w:p>
    <w:p>
      <w:pPr>
        <w:spacing w:before="60" w:after="60"/>
        <w:ind w:left="360"/>
      </w:pPr>
      <w:r>
        <w:rPr>
          <w:rFonts w:ascii="Consolas" w:hAnsi="Consolas"/>
          <w:sz w:val="17"/>
        </w:rPr>
        <w:t>python3 cdcu_monitor.py --host 192.168.x.x --no-analysis</w:t>
        <w:br/>
      </w:r>
    </w:p>
    <w:p>
      <w:pPr>
        <w:pStyle w:val="Heading2"/>
      </w:pPr>
      <w:r>
        <w:t>11.4 Re-run FFT/PSD from a saved PMM CSV using the compatibility launcher</w:t>
      </w:r>
    </w:p>
    <w:p>
      <w:pPr>
        <w:spacing w:before="60" w:after="60"/>
        <w:ind w:left="360"/>
      </w:pPr>
      <w:r>
        <w:t>python3 cdcu_ripple_analyzer.py --csv ./run/pmm_captures/&lt;initial_or_final_pmm&gt;.csv --model CDCU-300</w:t>
      </w:r>
    </w:p>
    <w:p>
      <w:pPr>
        <w:pStyle w:val="Heading2"/>
      </w:pPr>
      <w:r>
        <w:t>11.5 Re-run PMM FFT/PSD from a saved PMM CSV using the dedicated utility</w:t>
      </w:r>
    </w:p>
    <w:p>
      <w:pPr>
        <w:spacing w:before="60" w:after="60"/>
        <w:ind w:left="360"/>
      </w:pPr>
      <w:r>
        <w:t>python3 cdcu_pmm_fft.py --csv ./run/fault_events/&lt;fault_pmm&gt;.csv --model CDCU-300</w:t>
      </w:r>
    </w:p>
    <w:p>
      <w:pPr>
        <w:pStyle w:val="Heading2"/>
      </w:pPr>
      <w:r>
        <w:t>11.6 Decode fault registers</w:t>
      </w:r>
    </w:p>
    <w:p>
      <w:pPr>
        <w:spacing w:before="60" w:after="60"/>
        <w:ind w:left="360"/>
      </w:pPr>
      <w:r>
        <w:rPr>
          <w:rFonts w:ascii="Consolas" w:hAnsi="Consolas"/>
          <w:sz w:val="17"/>
        </w:rPr>
        <w:t>python3 cdcu_registers.py --mftr 00000010 --mstr 00000012 --mwrr 00000001</w:t>
        <w:br/>
      </w:r>
    </w:p>
    <w:p>
      <w:pPr>
        <w:pStyle w:val="Heading2"/>
      </w:pPr>
      <w:r>
        <w:t>11.7 Multi-unit launch</w:t>
      </w:r>
    </w:p>
    <w:p>
      <w:pPr>
        <w:spacing w:before="60" w:after="60"/>
        <w:ind w:left="360"/>
      </w:pPr>
      <w:r>
        <w:rPr>
          <w:rFonts w:ascii="Consolas" w:hAnsi="Consolas"/>
          <w:sz w:val="17"/>
        </w:rPr>
        <w:t>python3 one_liners.py --ips 192.168.3.2 192.168.3.3 --duration 120 --outdir ./cdcu_logs</w:t>
        <w:br/>
      </w:r>
    </w:p>
    <w:p>
      <w:pPr>
        <w:pStyle w:val="Heading1"/>
      </w:pPr>
      <w:r>
        <w:t>12. Using the Toolkit During an Input HW Over-Current Investigation</w:t>
      </w:r>
    </w:p>
    <w:p>
      <w:r>
        <w:t>CAEN’s Service Manual lists more than one possible origin for Input Over-current and Input Over-current HW fault: damaged Buck/MOSFET Driver boards, a faulty input Hall current sensor, and bad CH4 over-current sensing on the PWM Logic Board. I therefore use the toolkit to narrow the fault tree; I do not let the software name the failed component without independent electrical evidence.</w:t>
      </w:r>
    </w:p>
    <w:p>
      <w:pPr>
        <w:pStyle w:val="ListNumber"/>
      </w:pPr>
      <w:r>
        <w:t>Compare the suspect unit to a known-good unit at the same output current, output voltage, and DC-bus voltage.</w:t>
      </w:r>
    </w:p>
    <w:p>
      <w:pPr>
        <w:pStyle w:val="ListNumber"/>
      </w:pPr>
      <w:r>
        <w:t>Check whether MGPC is credible against expected input current and measured efficiency during diagnostic-valid plateaus.</w:t>
      </w:r>
    </w:p>
    <w:p>
      <w:pPr>
        <w:pStyle w:val="ListNumber"/>
      </w:pPr>
      <w:r>
        <w:t>Review the initial PMM for pre-existing spectral behavior before the fault sequence begins.</w:t>
      </w:r>
    </w:p>
    <w:p>
      <w:pPr>
        <w:pStyle w:val="ListNumber"/>
      </w:pPr>
      <w:r>
        <w:t>Review the first fault PMM before later cascade faults are allowed to dominate the interpretation.</w:t>
      </w:r>
    </w:p>
    <w:p>
      <w:pPr>
        <w:pStyle w:val="ListNumber"/>
      </w:pPr>
      <w:r>
        <w:t>If the measured input current implies hundreds of watts of additional loss, compare that implication to actual thermal behavior and an independent DC input-current measurement.</w:t>
      </w:r>
    </w:p>
    <w:p>
      <w:pPr>
        <w:pStyle w:val="ListNumber"/>
      </w:pPr>
      <w:r>
        <w:t>Use the fault cascade to separate initiating faults from shutdown consequences.</w:t>
      </w:r>
    </w:p>
    <w:p>
      <w:pPr>
        <w:pStyle w:val="ListNumber"/>
      </w:pPr>
      <w:r>
        <w:t>If telemetry and independent measurements disagree, move the investigation toward the sensing/protection path. If they agree, move toward the input/power stage.</w:t>
      </w:r>
    </w:p>
    <w:p>
      <w:pPr>
        <w:pStyle w:val="Heading1"/>
      </w:pPr>
      <w:r>
        <w:t>13. Output Structure</w:t>
      </w:r>
    </w:p>
    <w:p>
      <w:pPr>
        <w:spacing w:before="60" w:after="60"/>
        <w:ind w:left="360"/>
      </w:pPr>
      <w:r>
        <w:rPr>
          <w:rFonts w:ascii="Consolas" w:hAnsi="Consolas"/>
          <w:sz w:val="17"/>
        </w:rPr>
        <w:t>&lt;run&gt;/</w:t>
        <w:br/>
      </w:r>
      <w:r>
        <w:rPr>
          <w:rFonts w:ascii="Consolas" w:hAnsi="Consolas"/>
          <w:sz w:val="17"/>
        </w:rPr>
        <w:t xml:space="preserve">  cdcu_&lt;host&gt;.csv</w:t>
        <w:br/>
      </w:r>
      <w:r>
        <w:rPr>
          <w:rFonts w:ascii="Consolas" w:hAnsi="Consolas"/>
          <w:sz w:val="17"/>
        </w:rPr>
        <w:t xml:space="preserve">  cdcu_&lt;host&gt;_live.png</w:t>
        <w:br/>
      </w:r>
      <w:r>
        <w:rPr>
          <w:rFonts w:ascii="Consolas" w:hAnsi="Consolas"/>
          <w:sz w:val="17"/>
        </w:rPr>
        <w:t xml:space="preserve">  pmm_captures/</w:t>
        <w:br/>
      </w:r>
      <w:r>
        <w:rPr>
          <w:rFonts w:ascii="Consolas" w:hAnsi="Consolas"/>
          <w:sz w:val="17"/>
        </w:rPr>
        <w:t xml:space="preserve">    &lt;prefix&gt;_initial_pmm.csv</w:t>
        <w:br/>
      </w:r>
      <w:r>
        <w:rPr>
          <w:rFonts w:ascii="Consolas" w:hAnsi="Consolas"/>
          <w:sz w:val="17"/>
        </w:rPr>
        <w:t xml:space="preserve">  fault_events/</w:t>
        <w:br/>
      </w:r>
      <w:r>
        <w:rPr>
          <w:rFonts w:ascii="Consolas" w:hAnsi="Consolas"/>
          <w:sz w:val="17"/>
        </w:rPr>
        <w:t xml:space="preserve">    &lt;prefix&gt;_fault01_&lt;time&gt;.csv</w:t>
        <w:br/>
      </w:r>
      <w:r>
        <w:rPr>
          <w:rFonts w:ascii="Consolas" w:hAnsi="Consolas"/>
          <w:sz w:val="17"/>
        </w:rPr>
        <w:t xml:space="preserve">    &lt;prefix&gt;_fault02_&lt;time&gt;.csv</w:t>
        <w:br/>
      </w:r>
      <w:r>
        <w:rPr>
          <w:rFonts w:ascii="Consolas" w:hAnsi="Consolas"/>
          <w:sz w:val="17"/>
        </w:rPr>
        <w:t xml:space="preserve">  analysis/</w:t>
        <w:br/>
      </w:r>
      <w:r>
        <w:rPr>
          <w:rFonts w:ascii="Consolas" w:hAnsi="Consolas"/>
          <w:sz w:val="17"/>
        </w:rPr>
        <w:t xml:space="preserve">    pmm/</w:t>
        <w:br/>
      </w:r>
      <w:r>
        <w:rPr>
          <w:rFonts w:ascii="Consolas" w:hAnsi="Consolas"/>
          <w:sz w:val="17"/>
        </w:rPr>
        <w:t xml:space="preserve">      initial_01/</w:t>
        <w:br/>
      </w:r>
      <w:r>
        <w:rPr>
          <w:rFonts w:ascii="Consolas" w:hAnsi="Consolas"/>
          <w:sz w:val="17"/>
        </w:rPr>
        <w:t xml:space="preserve">      fault_01/</w:t>
        <w:br/>
      </w:r>
      <w:r>
        <w:rPr>
          <w:rFonts w:ascii="Consolas" w:hAnsi="Consolas"/>
          <w:sz w:val="17"/>
        </w:rPr>
        <w:t xml:space="preserve">      fault_02/</w:t>
        <w:br/>
      </w:r>
      <w:r>
        <w:rPr>
          <w:rFonts w:ascii="Consolas" w:hAnsi="Consolas"/>
          <w:sz w:val="17"/>
        </w:rPr>
        <w:t xml:space="preserve">  reports/</w:t>
        <w:br/>
      </w:r>
      <w:r>
        <w:rPr>
          <w:rFonts w:ascii="Consolas" w:hAnsi="Consolas"/>
          <w:sz w:val="17"/>
        </w:rPr>
        <w:t xml:space="preserve">    ...</w:t>
        <w:br/>
      </w:r>
    </w:p>
    <w:p>
      <w:pPr>
        <w:pStyle w:val="Heading1"/>
      </w:pPr>
      <w:r>
        <w:t>14. Verification Before Use</w:t>
      </w:r>
    </w:p>
    <w:p>
      <w:pPr>
        <w:pStyle w:val="ListBullet"/>
      </w:pPr>
      <w:r>
        <w:t>Run python3 -m compileall -q . after modifying the toolkit.</w:t>
      </w:r>
    </w:p>
    <w:p>
      <w:pPr>
        <w:pStyle w:val="ListBullet"/>
      </w:pPr>
      <w:r>
        <w:t>Run python3 test_cdcu_diagnostics.py after changing model limits, efficiency logic, load gating, or ppm conversion.</w:t>
      </w:r>
    </w:p>
    <w:p>
      <w:pPr>
        <w:pStyle w:val="ListBullet"/>
      </w:pPr>
      <w:r>
        <w:t>Use --help on cdcu_monitor.py, cdcu_pmm_fft.py, cdcu_ripple_analyzer.py, one_liners.py, cdcu_load_map.py, and cdcu_registers.py when validating a deployment package.</w:t>
      </w:r>
    </w:p>
    <w:p>
      <w:pPr>
        <w:pStyle w:val="ListBullet"/>
      </w:pPr>
      <w:r>
        <w:t>Keep the CAEN manual revisions with the toolkit release used for a formal troubleshooting record.</w:t>
      </w:r>
    </w:p>
    <w:p>
      <w:pPr>
        <w:pStyle w:val="ListBullet"/>
      </w:pPr>
      <w:r>
        <w:t>Do not overwrite a known-good unit baseline without retaining the prior value and the evidence used to establish the change.</w:t>
      </w:r>
    </w:p>
    <w:p>
      <w:pPr>
        <w:pStyle w:val="Heading1"/>
      </w:pPr>
      <w:r>
        <w:t>15. Source Documentation</w:t>
      </w:r>
    </w:p>
    <w:p>
      <w:r>
        <w:t>CAENels, CDCU User’s Manual, Rev. 1.0, November 2019. Technical Specifications, page 42: CDCU-100 &gt;92%, CDCU-200 &gt;94%, CDCU-300 &gt;97% efficiency at full load; 36–72 VDC input range.</w:t>
      </w:r>
    </w:p>
    <w:p>
      <w:r>
        <w:t>CAENels, CDCU Remote Control Manual, Rev. 1.3, March 2023. Remote commands, post-mortem monitor commands, waveform functions, and register access.</w:t>
      </w:r>
    </w:p>
    <w:p>
      <w:r>
        <w:t>CAENels, CDCU Service Manual, Rev. 1.0, March 2023. Hardware architecture and first-level troubleshooting; Input Over-current / Input Over-current HW fault origins include Buck/MOSFET Driver boards, the input Hall sensor, and CH4 over-current sensing on the PWM Logic Board.</w:t>
      </w:r>
    </w:p>
    <w:p>
      <w:pPr>
        <w:pStyle w:val="Heading1"/>
      </w:pPr>
      <w:r>
        <w:t>16. Authorship and Revision Note</w:t>
      </w:r>
    </w:p>
    <w:p>
      <w:r>
        <w:t>Authored By: Byron Jordan</w:t>
        <w:br/>
        <w:t>Power Supply Engineer</w:t>
        <w:br/>
        <w:t>Advanced Photon Source (APS)</w:t>
        <w:br/>
        <w:t>Argonne National Laboratory</w:t>
      </w:r>
    </w:p>
    <w:p>
      <w:r>
        <w:t>This guide documents the toolkit version packaged with this document. Code comments are intentionally detailed so technicians and engineers can follow the execution path without reverse-engineering the software during a fault response.</w:t>
      </w:r>
    </w:p>
    <w:p>
      <w:r>
        <w:br w:type="page"/>
      </w:r>
    </w:p>
    <w:p>
      <w:pPr>
        <w:pStyle w:val="Heading1"/>
      </w:pPr>
      <w:r>
        <w:t>Revision 12 - Mathematical Validation and Reference Conventions</w:t>
      </w:r>
    </w:p>
    <w:p>
      <w:r>
        <w:t>Purpose. Revision 12 tightens the mathematical treatment used by the toolkit so that power balance, efficiency, FFT/PSD, and ppm reporting remain defensible during engineering review. The changes do not alter the basic CDCU equations; they clarify when each equation can be used and what reference each reported ppm value uses.</w:t>
      </w:r>
    </w:p>
    <w:p>
      <w:pPr>
        <w:pStyle w:val="Heading2"/>
      </w:pPr>
      <w:r>
        <w:t>CAEN full-load efficiency compliance</w:t>
      </w:r>
    </w:p>
    <w:p>
      <w:r>
        <w:t>CAEN specifies efficiency at full load: CDCU-100 &gt;92%, CDCU-200 &gt;94%, and CDCU-300 &gt;97%. Revision 12 no longer treats those values as manufacturer pass/fail limits at partial load. General diagnostics may still run above the configured 25% load gate, but CAEN compliance is reported only when the operating point is near full rated power. The default compliance gate is 95% of rated output power and is identified as an engineering test gate, not a CAEN-defined tolerance.</w:t>
      </w:r>
    </w:p>
    <w:p>
      <w:pPr>
        <w:pStyle w:val="Heading2"/>
      </w:pPr>
      <w:r>
        <w:t>Expected input current and power balance</w:t>
      </w:r>
    </w:p>
    <w:p>
      <w:r>
        <w:t>Expected DC-bus current remains Ibus_expected = Pout / (Vbus x eta_reference), where Pout = Vout x Iout. The signed current residual is Ibus_measured - Ibus_expected. Percent error is referenced to Ibus_expected, and ppm is reported as that same relative error x 10,000. This makes the denominator explicit and keeps the current-domain diagnostic tied to a known reference.</w:t>
      </w:r>
    </w:p>
    <w:p>
      <w:pPr>
        <w:pStyle w:val="Heading2"/>
      </w:pPr>
      <w:r>
        <w:t>Efficiency difference reporting</w:t>
      </w:r>
    </w:p>
    <w:p>
      <w:r>
        <w:t>Efficiency differences are now separated into percentage points, absolute fractional ppm, and relative ppm. A measured efficiency of 96.4% compared with a 97.0% reference is -0.6 percentage points, -6,000 ppm on an absolute fractional basis, and approximately -6,186 ppm relative to the 97.0% reference. The report identifies which convention is being used.</w:t>
      </w:r>
    </w:p>
    <w:p>
      <w:pPr>
        <w:pStyle w:val="Heading2"/>
      </w:pPr>
      <w:r>
        <w:t>PMM ppm/FS</w:t>
      </w:r>
    </w:p>
    <w:p>
      <w:r>
        <w:t>When the CDCU model is known, PMM output current and setpoint current default to rated current as the full-scale ppm denominator. Output voltage uses rated output voltage. CDCU-300 output-current ripple is therefore reported against 300 A full scale. If no model or explicit reference is provided, the utility uses the DC mean and labels the result ppm of operating point rather than ppm/FS.</w:t>
      </w:r>
    </w:p>
    <w:p>
      <w:pPr>
        <w:pStyle w:val="Heading2"/>
      </w:pPr>
      <w:r>
        <w:t>FFT amplitude normalization</w:t>
      </w:r>
    </w:p>
    <w:p>
      <w:r>
        <w:t>The single-sided FFT is coherent-gain corrected. Interior positive-frequency bins are doubled because the negative-frequency half of a real-valued FFT is omitted. DC and Nyquist are not doubled. Interior sinusoidal peak amplitude is converted to RMS by division by sqrt(2). The graphical Y-axis is labeled RMS Amplitude to state exactly what is plotted.</w:t>
      </w:r>
    </w:p>
    <w:p>
      <w:pPr/>
      <w:r>
        <w:t>The monitor forces one PMM at startup and a second PMM immediately before the live-polling timeout. Each capture is saved and analyzed immediately. Hardware-triggered fault PMMs are analyzed in between as they occur. This gives the operator a consistent beginning-of-run and end-of-run spectral comparison even when the live current setpoint is neither zero nor full scale.</w:t>
      </w:r>
    </w:p>
    <w:p>
      <w:pPr>
        <w:pStyle w:val="Heading2"/>
      </w:pPr>
      <w:r>
        <w:t>Startup-versus-final PMM comparison</w:t>
      </w:r>
    </w:p>
    <w:p>
      <w:pPr>
        <w:pStyle w:val="Heading2"/>
      </w:pPr>
      <w:r>
        <w:t>Welch PSD and frequency resolution</w:t>
      </w:r>
    </w:p>
    <w:p>
      <w:r>
        <w:t>PMM analysis uses a 16,384-sample Welch segment whenever the record is long enough. At 10 kHz this provides approximately 0.61035 Hz bin spacing. The segment length is not reduced to 8,192 for normal 100,001-sample PMM records. Band integration interpolates the PSD at the requested band edges before numerical integration, reducing sensitivity to coarse bin placement.</w:t>
      </w:r>
    </w:p>
    <w:p>
      <w:pPr>
        <w:pStyle w:val="Heading2"/>
      </w:pPr>
      <w:r>
        <w:t>Sampling uniformity</w:t>
      </w:r>
    </w:p>
    <w:p>
      <w:r>
        <w:t>FFT/PSD is restricted to PMM data. PMM uses a fixed 10 kHz hardware sample clock, so the spectral path does not resample live Ethernet polling records. The toolkit still records timing-uniformity metrics as a quality check on imported PMM files, but live polling samples are reserved for trends, power balance, efficiency, and fault sequencing.</w:t>
      </w:r>
    </w:p>
    <w:p>
      <w:pPr>
        <w:pStyle w:val="Heading2"/>
      </w:pPr>
      <w:r>
        <w:t>Parseval consistency check</w:t>
      </w:r>
    </w:p>
    <w:p>
      <w:r>
        <w:t>The toolkit compares time-domain AC RMS against RMS recovered by integrating the Welch PSD. Parseval error is 100 x (RMS_PSD - RMS_time) / RMS_time. A difference within +/-3% is reported as PASS. This is a mathematical quality check, not a CAEN acceptance criterion.</w:t>
      </w:r>
    </w:p>
    <w:p>
      <w:pPr>
        <w:pStyle w:val="Heading2"/>
      </w:pPr>
      <w:r>
        <w:t>Standalone PMM FFT/PSD - recommended full-scale command</w:t>
      </w:r>
    </w:p>
    <w:p>
      <w:r>
        <w:rPr>
          <w:rFonts w:ascii="Consolas" w:hAnsi="Consolas"/>
          <w:sz w:val="18"/>
        </w:rPr>
        <w:t>python3 cdcu_pmm_fft.py --csv ./fault.csv --model CDCU-300 --channels iout_A --fft-y ppm</w:t>
      </w:r>
    </w:p>
    <w:p>
      <w:r>
        <w:t>With --model CDCU-300, the output-current spectrum is referenced to 300 A full scale. An explicit --iout-ref overrides the model-derived denominator and is identified as an operator reference.</w:t>
      </w:r>
    </w:p>
    <w:p>
      <w:pPr>
        <w:pStyle w:val="Heading2"/>
      </w:pPr>
      <w:r>
        <w:t>Revision 12 validation</w:t>
      </w:r>
    </w:p>
    <w:p>
      <w:r>
        <w:t>The regression suite includes CAEN full-load compliance gating, expected-current arithmetic, percentage-point versus relative-ppm conversion, FFT amplitude normalization with a bin-centered sine wave, timestamp-jitter resampling, and time-domain-versus-PSD RMS agreement.</w:t>
      </w:r>
    </w:p>
    <w:p>
      <w:r>
        <w:rPr>
          <w:b/>
        </w:rPr>
        <w:t>Authored By: Byron Jordan</w:t>
        <w:br/>
      </w:r>
      <w:r>
        <w:t>Power Supply Engineer</w:t>
        <w:br/>
        <w:t>Advanced Photon Source (APS)</w:t>
        <w:br/>
        <w:t>Argonne National Laboratory</w:t>
      </w:r>
    </w:p>
    <w:p>
      <w:pPr>
        <w:pStyle w:val="Heading1"/>
      </w:pPr>
      <w:r>
        <w:t>Revision 14 - Live Temperature Monitoring</w:t>
      </w:r>
    </w:p>
    <w:p>
      <w:r>
        <w:rPr>
          <w:b/>
        </w:rPr>
        <w:t>Purpose</w:t>
      </w:r>
    </w:p>
    <w:p>
      <w:r>
        <w:t>Revision 14 adds a dedicated live temperature figure so the internal thermal behavior can be reviewed independently from the mixed voltage and current traces. The temperature plot is generated from the CDCU MRT command family and is saved with the rest of the run evidence.</w:t>
      </w:r>
    </w:p>
    <w:p>
      <w:r>
        <w:rPr>
          <w:b/>
        </w:rPr>
        <w:t>Available temperature channels</w:t>
      </w:r>
    </w:p>
    <w:p>
      <w:r>
        <w:t>The CAEN Remote Control Manual defines MRT as the maximum internal temperature readout. Individual sensors are addressed as MRT:1 for the Buck, MRT:2 for the Capacitor Bank, MRT:3 for the ADC and Shunt, and MRT:4 for the Carrier Board.</w:t>
      </w:r>
    </w:p>
    <w:p>
      <w:r>
        <w:rPr>
          <w:b/>
        </w:rPr>
        <w:t>Signal configuration</w:t>
      </w:r>
    </w:p>
    <w:p>
      <w:r>
        <w:t>All five temperature reads are defined in the same SIGNALS dictionary used for normal live polling. Each entry is numeric, is excluded from the Electrical Values panel, and uses temperature_plot=True so it is routed to the dedicated temperature figure.</w:t>
      </w:r>
    </w:p>
    <w:p>
      <w:r>
        <w:rPr>
          <w:b/>
        </w:rPr>
        <w:t>Plot behavior</w:t>
      </w:r>
    </w:p>
    <w:p>
      <w:r>
        <w:t>The temperature figure uses one common degrees-Celsius axis and updates during the same polling burst as MRP, MGPC, MRV, MRI, and the other selected registers. Separating temperature from the electrical panel keeps changes of only a few degrees visible even when the electrical traces span hundreds of amperes.</w:t>
      </w:r>
    </w:p>
    <w:p>
      <w:r>
        <w:rPr>
          <w:b/>
        </w:rPr>
        <w:t>Saved evidence</w:t>
      </w:r>
    </w:p>
    <w:p>
      <w:r>
        <w:t>The normal live plot remains &lt;PREFIX&gt;_live.png. The temperature figure is saved as &lt;PREFIX&gt;_temperatures.png. The CSV retains each raw MRT reply and includes parsed MRT_float, MRT_1_float, MRT_2_float, MRT_3_float, and MRT_4_float columns for later trending or comparison.</w:t>
      </w:r>
    </w:p>
    <w:p>
      <w:r>
        <w:rPr>
          <w:b/>
        </w:rPr>
        <w:t>Configuration rule</w:t>
      </w:r>
    </w:p>
    <w:p>
      <w:r>
        <w:t>To remove a temperature channel, comment out its SIGNALS entry or set temperature_plot to False. To restore it, reverse that change. No polling-loop or plotting code has to be rewritten.</w:t>
      </w:r>
    </w:p>
    <w:p>
      <w:r>
        <w:t>Authored By: Byron Jordan</w:t>
        <w:br/>
        <w:t>Power Supply Engineer</w:t>
        <w:br/>
        <w:t>Advanced Photon Source (APS)</w:t>
        <w:br/>
        <w:t>Argonne National Laboratory</w:t>
      </w:r>
    </w:p>
    <w:p>
      <w:r>
        <w:br w:type="page"/>
      </w:r>
    </w:p>
    <w:p>
      <w:pPr>
        <w:pStyle w:val="Heading1"/>
      </w:pPr>
      <w:r>
        <w:t>Revision 17 - PDF Branding and Footer Placement</w:t>
      </w:r>
    </w:p>
    <w:p>
      <w:r>
        <w:t>Revision 17 preserves the ANL/APS branding asset as a true RGBA transparent PNG while making the Advanced Photon Source name readable on white report backgrounds. The legacy typed footer string remains disabled so the image is the sole branding block.</w:t>
      </w:r>
    </w:p>
    <w:p>
      <w:r>
        <w:t>FFT/PSD and related engineering PDF pages now anchor the branding block in the bottom-right page footer. The footer placement is intentionally separated from plot and table content so branding does not compete with engineering data.</w:t>
      </w:r>
    </w:p>
    <w:p>
      <w:r>
        <w:t>Configuration retained in cdcu_monitor.py:</w:t>
      </w:r>
    </w:p>
    <w:p>
      <w:r>
        <w:t># _LOGO_TEXT_A = "Argonne National Laboratory - APS"</w:t>
        <w:br/>
        <w:t>_LOGO_TEXT_A = None</w:t>
      </w:r>
    </w:p>
    <w:p>
      <w:r>
        <w:br w:type="page"/>
      </w:r>
    </w:p>
    <w:p>
      <w:pPr>
        <w:pStyle w:val="Heading1"/>
      </w:pPr>
      <w:r>
        <w:t>Revision 18 - 1 kHz Standard Spectral Band</w:t>
      </w:r>
    </w:p>
    <w:p>
      <w:r>
        <w:rPr>
          <w:b/>
        </w:rPr>
        <w:t xml:space="preserve">Purpose. </w:t>
      </w:r>
      <w:r>
        <w:t>Revision 18 extends the standard PMM FFT/PSD analysis so the routine band reporting always includes a frequency band containing 1 kHz.</w:t>
      </w:r>
    </w:p>
    <w:p>
      <w:pPr>
        <w:pStyle w:val="Heading2"/>
      </w:pPr>
      <w:r>
        <w:t>Standard PMM Bands</w:t>
      </w:r>
    </w:p>
    <w:p>
      <w:pPr>
        <w:pStyle w:val="ListBullet"/>
      </w:pPr>
      <w:r>
        <w:t>1-10 Hz - low-frequency behavior</w:t>
      </w:r>
    </w:p>
    <w:p>
      <w:pPr>
        <w:pStyle w:val="ListBullet"/>
      </w:pPr>
      <w:r>
        <w:t>60-120 Hz - line-frequency and first-harmonic region</w:t>
      </w:r>
    </w:p>
    <w:p>
      <w:pPr>
        <w:pStyle w:val="ListBullet"/>
      </w:pPr>
      <w:r>
        <w:t>360-720 Hz - higher-order line/switching content</w:t>
      </w:r>
    </w:p>
    <w:p>
      <w:pPr>
        <w:pStyle w:val="ListBullet"/>
      </w:pPr>
      <w:r>
        <w:t>720-1200 Hz - standard high-frequency band containing 1 kHz</w:t>
      </w:r>
    </w:p>
    <w:p>
      <w:r>
        <w:t>The upper band is intentionally extended to 1200 Hz rather than ending exactly at 1000 Hz. This places a 1 kHz component inside the integration band instead of on the boundary, which is preferable when Welch windowing and spectral leakage are present.</w:t>
      </w:r>
    </w:p>
    <w:p>
      <w:pPr>
        <w:pStyle w:val="Heading2"/>
      </w:pPr>
      <w:r>
        <w:t>Display and Acquisition Bandwidth</w:t>
      </w:r>
    </w:p>
    <w:p>
      <w:r>
        <w:t>PMM data remains the only source used for FFT/PSD analysis. The PMM sample rate is 10 kHz, which provides a 5 kHz Nyquist limit. Revision 18 keeps the standard spectral plots visible through at least 1200 Hz whenever the acquisition Nyquist limit permits it, even when the automatic content-based frequency limiter would otherwise stop below 1 kHz.</w:t>
      </w:r>
    </w:p>
    <w:p>
      <w:pPr>
        <w:pStyle w:val="Heading2"/>
      </w:pPr>
      <w:r>
        <w:t>Branding</w:t>
      </w:r>
    </w:p>
    <w:p>
      <w:r>
        <w:t>Revision 18 uses the exact user-supplied Argonne National Laboratory | Advanced Photon Source horizontal PNG as the plot and PDF branding asset. The file is retained as RGBA and its alpha channel is preserved. Plot branding and PDF footer branding are anchored in the bottom-right corner.</w:t>
      </w:r>
    </w:p>
    <w:p>
      <w:pPr>
        <w:pStyle w:val="Heading2"/>
      </w:pPr>
      <w:r>
        <w:t>Engineering Interpretation</w:t>
      </w:r>
    </w:p>
    <w:p>
      <w:r>
        <w:t>The 720-1200 Hz result is an integrated RMS band result, not a single-bin 1 kHz amplitude. Discrete FFT peak reporting remains available separately. A component near 1 kHz therefore appears both as a spectral peak and as part of the integrated RMS contribution of the 720-1200 Hz band.</w:t>
      </w:r>
    </w:p>
    <w:p>
      <w:r>
        <w:br w:type="page"/>
      </w:r>
    </w:p>
    <w:p>
      <w:pPr>
        <w:pStyle w:val="Heading1"/>
      </w:pPr>
      <w:r>
        <w:t>Revision 19 - PDF Branding and Runtime Accounting</w:t>
      </w:r>
    </w:p>
    <w:p>
      <w:r>
        <w:rPr>
          <w:b/>
        </w:rPr>
        <w:t xml:space="preserve">PDF branding. </w:t>
      </w:r>
      <w:r>
        <w:t>Standalone FFT, PSD, and cumulative-ripple PNG plots retain the official transparent Argonne | Advanced Photon Source branding in the lower-right plot footer. When those plots are embedded into the PMM PDF, the small plot-level logo is masked in the PDF copy only. The PDF page therefore shows one larger official logo in the bottom-right page footer. The standalone PNG files are not altered.</w:t>
      </w:r>
    </w:p>
    <w:p>
      <w:r>
        <w:rPr>
          <w:b/>
        </w:rPr>
        <w:t xml:space="preserve">Live-duration semantics. </w:t>
      </w:r>
      <w:r>
        <w:t>The --duration setting now applies to the live polling and live-plot data window itself. Connection setup and startup PMM acquisition occur before that timer starts. Final PMM acquisition, spectral analysis, and report generation occur after that live interval and are included in the total per-supply runtime.</w:t>
      </w:r>
    </w:p>
    <w:p>
      <w:pPr>
        <w:pStyle w:val="Heading2"/>
      </w:pPr>
      <w:r>
        <w:t>Terminal Runtime Information</w:t>
      </w:r>
    </w:p>
    <w:p>
      <w:pPr>
        <w:pStyle w:val="ListBullet"/>
      </w:pPr>
      <w:r>
        <w:t>Program start timestamp.</w:t>
      </w:r>
    </w:p>
    <w:p>
      <w:pPr>
        <w:pStyle w:val="ListBullet"/>
      </w:pPr>
      <w:r>
        <w:t>Configured live plot/data duration.</w:t>
      </w:r>
    </w:p>
    <w:p>
      <w:pPr>
        <w:pStyle w:val="ListBullet"/>
      </w:pPr>
      <w:r>
        <w:t>Live polling start timestamp.</w:t>
      </w:r>
    </w:p>
    <w:p>
      <w:pPr>
        <w:pStyle w:val="ListBullet"/>
      </w:pPr>
      <w:r>
        <w:t>Actual live polling duration.</w:t>
      </w:r>
    </w:p>
    <w:p>
      <w:pPr>
        <w:pStyle w:val="ListBullet"/>
      </w:pPr>
      <w:r>
        <w:t>Total runtime for the monitored supply.</w:t>
      </w:r>
    </w:p>
    <w:p>
      <w:pPr>
        <w:pStyle w:val="ListBullet"/>
      </w:pPr>
      <w:r>
        <w:t>Total runtime from program start through final completion.</w:t>
      </w:r>
    </w:p>
    <w:p>
      <w:pPr>
        <w:pStyle w:val="ListBullet"/>
      </w:pPr>
      <w:r>
        <w:t>Program finish timestamp.</w:t>
      </w:r>
    </w:p>
    <w:p>
      <w:r>
        <w:t>For a direct single-supply cdcu_monitor.py run, Total runtime / supply and Program start -&gt; finish are the same elapsed interval. Both are displayed so the meaning remains clear when the monitor is launched from a multi-supply workflow.</w:t>
      </w:r>
    </w:p>
    <w:p>
      <w:pPr>
        <w:pStyle w:val="Heading2"/>
      </w:pPr>
      <w:r>
        <w:t>Multi-Supply Runtime Reporting</w:t>
      </w:r>
    </w:p>
    <w:p>
      <w:r>
        <w:t>one_liners.py records the subprocess launch and completion time for every monitored supply. Its final terminal summary reports the configured live duration per supply, the elapsed runtime of each supply process, and the total batch runtime from the one_liners.py start through completion of the final supply.</w:t>
      </w:r>
    </w:p>
    <w:p>
      <w:pPr>
        <w:pStyle w:val="Heading2"/>
      </w:pPr>
      <w:r>
        <w:t>Timing Interpretation</w:t>
      </w:r>
    </w:p>
    <w:p>
      <w:r>
        <w:t>The live plot duration is not expected to equal the total program runtime. The difference is intentional overhead from connection/probing, startup PMM capture and immediate analysis, final PMM capture and analysis, magnet-load summary generation, FFT/PSD processing, PDF generation, file I/O, and orderly shutdown.</w:t>
      </w:r>
    </w:p>
    <w:p>
      <w:r>
        <w:br w:type="page"/>
      </w:r>
    </w:p>
    <w:p>
      <w:pPr>
        <w:pStyle w:val="Heading1"/>
      </w:pPr>
      <w:r>
        <w:t>Revision 20 - FFT Load Context and Peak Callouts</w:t>
      </w:r>
    </w:p>
    <w:p>
      <w:r>
        <w:rPr>
          <w:b/>
        </w:rPr>
        <w:t xml:space="preserve">FFT summary box. </w:t>
      </w:r>
      <w:r>
        <w:t>The FFT Analysis - PMM Output plots now place the magnet load description inside the engineering summary box, directly below the Dominant Components section. This keeps the magnet description tied to the spectral results instead of leaving it separated in the plot field.</w:t>
      </w:r>
    </w:p>
    <w:p>
      <w:r>
        <w:rPr>
          <w:b/>
        </w:rPr>
        <w:t xml:space="preserve">Dominant-component callouts. </w:t>
      </w:r>
      <w:r>
        <w:t>The two strongest FFT components are now called out with boxed arrow annotations. The labels stay inside the plot frame and are positioned to avoid overlapping the main engineering summary content.</w:t>
      </w:r>
    </w:p>
    <w:p>
      <w:r>
        <w:br w:type="page"/>
      </w:r>
    </w:p>
    <w:p>
      <w:pPr>
        <w:pStyle w:val="Heading1"/>
      </w:pPr>
      <w:r>
        <w:t>Revision 23 - Consolidated Multi-IP Dashboard and DCBus Characterization</w:t>
      </w:r>
    </w:p>
    <w:p>
      <w:r>
        <w:rPr>
          <w:b/>
        </w:rPr>
        <w:t xml:space="preserve">Consolidated multi-IP live dashboard. </w:t>
      </w:r>
      <w:r>
        <w:t>When cdcu_monitor.py is started with --hosts, the default visual mode is now one dashboard window arranged two supplies across. Two supplies use a 2x1 layout, four use 2x2, six use 2x3, and eight use 2x4. Each supply tile contains compact Power, Electrical Values, Efficiency, and CDCU Internal Temperatures panels. The child monitor for each IP still runs the full single-supply acquisition, PMM, fault handling, diagnostics, logging, FFT/PSD, report generation, and runtime workflow.</w:t>
      </w:r>
    </w:p>
    <w:p>
      <w:r>
        <w:rPr>
          <w:b/>
        </w:rPr>
        <w:t xml:space="preserve">Plot-mode override. </w:t>
      </w:r>
      <w:r>
        <w:t>Use --individual-plots to return to one full-size live plot window per supply. Use --no-plot for headless operation. The consolidated dashboard is presentation-only; loss of the dashboard does not stop or change the child monitor processes.</w:t>
      </w:r>
    </w:p>
    <w:p>
      <w:r>
        <w:rPr>
          <w:b/>
        </w:rPr>
        <w:t xml:space="preserve">Magnet characterization DCBus section. </w:t>
      </w:r>
      <w:r>
        <w:t>The per-run magnet-load text summary now reports a steady-state DCBus operating point using qualifying plateau samples: median MRP voltage, median MGPC current, median absolute input power |MRP x MGPC| in watts and kilowatts, a median-voltage times median-current calculation check, and the number of qualifying samples. The same 10% rated-current minimum used for meaningful resistance characterization prevents an idle plateau from dominating the reported DCBus condition.</w:t>
      </w:r>
    </w:p>
    <w:p>
      <w:r>
        <w:br w:type="page"/>
      </w:r>
    </w:p>
    <w:p>
      <w:pPr>
        <w:pStyle w:val="Heading1"/>
      </w:pPr>
      <w:r>
        <w:t>Revision 25 - Dynamic Live Plots with Magnet-Cycling Overlay</w:t>
      </w:r>
    </w:p>
    <w:p>
      <w:r>
        <w:rPr>
          <w:b/>
        </w:rPr>
        <w:t xml:space="preserve">Live plot behavior. </w:t>
      </w:r>
      <w:r>
        <w:t>The live monitor continues to display dynamic CDCU telemetry.  Ramped, transient, and fault-adjacent samples remain visible in the plots and in the CSV.  Steady-state filtering is used only for characterization calculations and does not replace the plotted values.</w:t>
      </w:r>
    </w:p>
    <w:p>
      <w:r>
        <w:rPr>
          <w:b/>
        </w:rPr>
        <w:t xml:space="preserve">Cycling overlay. </w:t>
      </w:r>
      <w:r>
        <w:t>When the measured output-current slope exceeds the magnet-cycling threshold, the toolkit lightly shades that time segment across the Power, Electrical Values, Efficiency, and CDCU Internal Temperatures panels.  The overlay is visual context only; it does not change any measured value.</w:t>
      </w:r>
    </w:p>
    <w:p>
      <w:r>
        <w:rPr>
          <w:b/>
        </w:rPr>
        <w:t xml:space="preserve">Default threshold. </w:t>
      </w:r>
      <w:r>
        <w:t>The default cycling threshold is 0.5 A/s using the live MRI-derived dI/dt value.  The threshold can be tuned without editing code by setting CDCU_CYCLING_DIDT_THRESHOLD_A_PER_S before starting the monitor.</w:t>
      </w:r>
    </w:p>
    <w:p>
      <w:r>
        <w:rPr>
          <w:b/>
        </w:rPr>
        <w:t xml:space="preserve">Multi-IP dashboard. </w:t>
      </w:r>
      <w:r>
        <w:t>The consolidated dashboard receives the same is_magnet_cycling flag from each child monitor.  During a cycling interval, that supply tile is shaded across all four compact panels and the tile title shows CYCLING.</w:t>
      </w:r>
    </w:p>
    <w:p>
      <w:r>
        <w:rPr>
          <w:b/>
        </w:rPr>
        <w:t xml:space="preserve">CSV support. </w:t>
      </w:r>
      <w:r>
        <w:t>The CSV includes is_magnet_cycling alongside Magnet_dIdt_A_per_s so later review can separate normal ramp-correlated DCBus behavior from true steady-state operating data.</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Advanced Photon Source | Power Supply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A1F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