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A0C7" w14:textId="00706A75" w:rsidR="00A809D0" w:rsidRDefault="007C5F91" w:rsidP="007C5F91">
      <w:pPr>
        <w:pStyle w:val="Heading1"/>
      </w:pPr>
      <w:r>
        <w:t xml:space="preserve">Chapter </w:t>
      </w:r>
      <w:r w:rsidR="00D705CB">
        <w:t>3</w:t>
      </w:r>
      <w:r>
        <w:t>: Hydraulic Analysis of Walnut Cove Wetland Cells</w:t>
      </w:r>
    </w:p>
    <w:p w14:paraId="64A8E515" w14:textId="68FF7E53" w:rsidR="007C5F91" w:rsidRDefault="007C5F91" w:rsidP="007C5F91">
      <w:pPr>
        <w:pStyle w:val="Heading2"/>
      </w:pPr>
      <w:r>
        <w:t>Abstract</w:t>
      </w:r>
    </w:p>
    <w:p w14:paraId="2C9E2EB7" w14:textId="50863117" w:rsidR="007C5F91" w:rsidRPr="009203C6" w:rsidRDefault="006734E5" w:rsidP="00D705CB">
      <w:pPr>
        <w:ind w:firstLine="720"/>
      </w:pPr>
      <w:r>
        <w:t xml:space="preserve">The Walnut Cove </w:t>
      </w:r>
      <w:r w:rsidR="00F67BD6">
        <w:t>T</w:t>
      </w:r>
      <w:r>
        <w:t>reatment Wetlands were, like many constructed wetlands, built</w:t>
      </w:r>
      <w:r w:rsidR="00D705CB">
        <w:t xml:space="preserve"> assuming th</w:t>
      </w:r>
      <w:r>
        <w:t>e</w:t>
      </w:r>
      <w:r w:rsidR="00D705CB">
        <w:t xml:space="preserve"> </w:t>
      </w:r>
      <w:r>
        <w:t xml:space="preserve">two </w:t>
      </w:r>
      <w:r w:rsidR="00D705CB">
        <w:t>wet</w:t>
      </w:r>
      <w:r>
        <w:t xml:space="preserve">land cells would </w:t>
      </w:r>
      <w:r w:rsidR="00D705CB">
        <w:t>act as plug flow reactors that utilize the entire wetland design volume.</w:t>
      </w:r>
      <w:r>
        <w:t xml:space="preserve"> </w:t>
      </w:r>
      <w:r w:rsidR="00D705CB">
        <w:t xml:space="preserve">However, hydraulic inefficiencies </w:t>
      </w:r>
      <w:r>
        <w:t>resulting from</w:t>
      </w:r>
      <w:r w:rsidR="00D705CB">
        <w:t xml:space="preserve"> stagnant pools</w:t>
      </w:r>
      <w:r w:rsidR="00F67BD6">
        <w:t>, physical blockage, and</w:t>
      </w:r>
      <w:r w:rsidR="00D705CB">
        <w:t xml:space="preserve"> preferential flow paths</w:t>
      </w:r>
      <w:r w:rsidR="00F67BD6">
        <w:t xml:space="preserve"> can result in only a portion of the wetland design volume being used.</w:t>
      </w:r>
      <w:r w:rsidR="00D705CB">
        <w:t xml:space="preserve"> </w:t>
      </w:r>
      <w:r w:rsidR="007C5F91">
        <w:t xml:space="preserve">To </w:t>
      </w:r>
      <w:r w:rsidR="00F67BD6">
        <w:t>understand</w:t>
      </w:r>
      <w:r w:rsidR="00D705CB">
        <w:t xml:space="preserve"> the internal hydraulics of the </w:t>
      </w:r>
      <w:r w:rsidR="00176092">
        <w:t xml:space="preserve">site </w:t>
      </w:r>
      <w:r w:rsidR="00F67BD6">
        <w:t xml:space="preserve">and evaluate the effect of the wetland clean out on </w:t>
      </w:r>
      <w:r w:rsidR="00176092">
        <w:t xml:space="preserve">wetland hydraulics, </w:t>
      </w:r>
      <w:r w:rsidR="00D705CB">
        <w:t>several tracer tests were conducted at the site</w:t>
      </w:r>
      <w:r w:rsidR="00F67BD6">
        <w:t xml:space="preserve"> using Rhodamine WT dye</w:t>
      </w:r>
      <w:r w:rsidR="00D705CB">
        <w:t xml:space="preserve">. 5 tracer tests were conducted in </w:t>
      </w:r>
      <w:r w:rsidR="00F67BD6">
        <w:t>wetland cell</w:t>
      </w:r>
      <w:r w:rsidR="00D705CB">
        <w:t xml:space="preserve"> 1 and</w:t>
      </w:r>
      <w:r w:rsidR="00F67BD6">
        <w:t xml:space="preserve"> 4 tracer tests were conducted in wetland cell</w:t>
      </w:r>
      <w:r w:rsidR="00D705CB">
        <w:t xml:space="preserve"> 2, for a total of 9 tests. </w:t>
      </w:r>
      <w:r>
        <w:t xml:space="preserve"> In cell 1, </w:t>
      </w:r>
      <w:r w:rsidR="00F67BD6">
        <w:t xml:space="preserve">2 </w:t>
      </w:r>
      <w:r>
        <w:t>o</w:t>
      </w:r>
      <w:r w:rsidR="00F67BD6">
        <w:t>f the tracer tes</w:t>
      </w:r>
      <w:r>
        <w:t>t</w:t>
      </w:r>
      <w:r w:rsidR="00F67BD6">
        <w:t>s</w:t>
      </w:r>
      <w:r>
        <w:t xml:space="preserve"> were conducted </w:t>
      </w:r>
      <w:r w:rsidR="00F67BD6">
        <w:t xml:space="preserve">pre-cleanout and 3 were conducted post-cleanout. The tails of all tracer tests were extended past the last sample </w:t>
      </w:r>
      <w:r w:rsidR="009203C6">
        <w:t>to approximately 2t</w:t>
      </w:r>
      <w:r w:rsidR="009203C6">
        <w:rPr>
          <w:vertAlign w:val="subscript"/>
        </w:rPr>
        <w:t>n</w:t>
      </w:r>
      <w:r w:rsidR="009203C6">
        <w:t xml:space="preserve"> </w:t>
      </w:r>
      <w:r w:rsidR="00F67BD6">
        <w:t xml:space="preserve">using an exponential decay curve fit to the recession limb. The tracer tests were analyzed using </w:t>
      </w:r>
      <w:r w:rsidR="009203C6">
        <w:t xml:space="preserve">both the method of </w:t>
      </w:r>
      <w:r w:rsidR="00F67BD6">
        <w:t>moment</w:t>
      </w:r>
      <w:r w:rsidR="009203C6">
        <w:t>s and by fitting a</w:t>
      </w:r>
      <w:r w:rsidR="00F67BD6">
        <w:t xml:space="preserve"> gamma </w:t>
      </w:r>
      <w:r w:rsidR="009203C6">
        <w:t xml:space="preserve">probability </w:t>
      </w:r>
      <w:r w:rsidR="00F67BD6">
        <w:t>distribution</w:t>
      </w:r>
      <w:r w:rsidR="009203C6">
        <w:t xml:space="preserve"> function</w:t>
      </w:r>
      <w:r w:rsidR="00F67BD6">
        <w:t xml:space="preserve">. </w:t>
      </w:r>
      <w:r w:rsidR="00176092">
        <w:t xml:space="preserve">The hydraulic performance of the wetlands were </w:t>
      </w:r>
      <w:r w:rsidR="009203C6">
        <w:t xml:space="preserve">compared using </w:t>
      </w:r>
      <w:r w:rsidR="009203C6">
        <w:rPr>
          <w:rFonts w:cstheme="minorHAnsi"/>
        </w:rPr>
        <w:t>λ</w:t>
      </w:r>
      <w:r w:rsidR="009203C6">
        <w:rPr>
          <w:vertAlign w:val="subscript"/>
        </w:rPr>
        <w:t>e</w:t>
      </w:r>
      <w:r w:rsidR="009203C6">
        <w:t xml:space="preserve">, </w:t>
      </w:r>
      <w:r w:rsidR="009203C6">
        <w:rPr>
          <w:rFonts w:cstheme="minorHAnsi"/>
        </w:rPr>
        <w:t>τ</w:t>
      </w:r>
      <w:r w:rsidR="009203C6">
        <w:rPr>
          <w:vertAlign w:val="subscript"/>
        </w:rPr>
        <w:t>10</w:t>
      </w:r>
      <w:r w:rsidR="009203C6">
        <w:t xml:space="preserve">, and </w:t>
      </w:r>
      <w:r w:rsidR="00B140B6">
        <w:rPr>
          <w:rFonts w:cstheme="minorHAnsi"/>
        </w:rPr>
        <w:t>σ</w:t>
      </w:r>
      <w:r w:rsidR="00B140B6">
        <w:rPr>
          <w:rFonts w:cstheme="minorHAnsi"/>
          <w:vertAlign w:val="superscript"/>
        </w:rPr>
        <w:t>2</w:t>
      </w:r>
      <w:r w:rsidR="009203C6">
        <w:t xml:space="preserve"> as recommended in Liu et al </w:t>
      </w:r>
      <w:r w:rsidR="009203C6">
        <w:fldChar w:fldCharType="begin"/>
      </w:r>
      <w:r w:rsidR="009203C6">
        <w:instrText xml:space="preserve"> ADDIN ZOTERO_ITEM CSL_CITATION {"citationID":"MOgidD7r","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rsidR="009203C6">
        <w:fldChar w:fldCharType="separate"/>
      </w:r>
      <w:r w:rsidR="009203C6" w:rsidRPr="009203C6">
        <w:rPr>
          <w:rFonts w:ascii="Calibri" w:hAnsi="Calibri" w:cs="Calibri"/>
        </w:rPr>
        <w:t>(2020)</w:t>
      </w:r>
      <w:r w:rsidR="009203C6">
        <w:fldChar w:fldCharType="end"/>
      </w:r>
      <w:r w:rsidR="009203C6">
        <w:t xml:space="preserve">. Cell 1 jumped from average </w:t>
      </w:r>
      <w:r w:rsidR="009203C6">
        <w:rPr>
          <w:rFonts w:cstheme="minorHAnsi"/>
        </w:rPr>
        <w:t>λ</w:t>
      </w:r>
      <w:r w:rsidR="009203C6">
        <w:rPr>
          <w:vertAlign w:val="subscript"/>
        </w:rPr>
        <w:t>e</w:t>
      </w:r>
      <w:r w:rsidR="009203C6">
        <w:t xml:space="preserve">, </w:t>
      </w:r>
      <w:r w:rsidR="009203C6">
        <w:rPr>
          <w:rFonts w:cstheme="minorHAnsi"/>
        </w:rPr>
        <w:t>τ</w:t>
      </w:r>
      <w:r w:rsidR="009203C6">
        <w:rPr>
          <w:vertAlign w:val="subscript"/>
        </w:rPr>
        <w:t>10</w:t>
      </w:r>
      <w:r w:rsidR="009203C6">
        <w:t>, and the Morril index</w:t>
      </w:r>
      <w:r w:rsidR="009203C6">
        <w:t xml:space="preserve"> values of  to values of  , respectively, after detritus removal. Cell 2 remained constant at </w:t>
      </w:r>
      <w:r w:rsidR="009203C6">
        <w:t>values of  to values of  , respectively, after detritus</w:t>
      </w:r>
      <w:r w:rsidR="009203C6">
        <w:t xml:space="preserve">. It can be concluded that the detritus removal </w:t>
      </w:r>
      <w:r w:rsidR="0075088A">
        <w:t>substantially</w:t>
      </w:r>
      <w:r w:rsidR="009203C6">
        <w:t xml:space="preserve"> improved the hydraulic performance of wetland cell 1.</w:t>
      </w:r>
    </w:p>
    <w:p w14:paraId="5B9F8760" w14:textId="36D98EDA" w:rsidR="00176092" w:rsidRDefault="00176092" w:rsidP="00176092">
      <w:pPr>
        <w:pStyle w:val="Heading2"/>
      </w:pPr>
      <w:r>
        <w:t>Introduction</w:t>
      </w:r>
    </w:p>
    <w:p w14:paraId="1E0042D0" w14:textId="431CA99E" w:rsidR="007C5F91" w:rsidRDefault="0026620F" w:rsidP="007C5F91">
      <w:r>
        <w:tab/>
      </w:r>
      <w:r w:rsidR="00AF2AE7">
        <w:t>Tracer tests</w:t>
      </w:r>
    </w:p>
    <w:p w14:paraId="3DA3F6E1" w14:textId="5892048D" w:rsidR="00AF2AE7" w:rsidRDefault="00AF2AE7" w:rsidP="00AF2AE7">
      <w:pPr>
        <w:pStyle w:val="Heading2"/>
      </w:pPr>
      <w:r>
        <w:t>Methods</w:t>
      </w:r>
    </w:p>
    <w:p w14:paraId="74C589CF" w14:textId="0C4D5B6D" w:rsidR="00AF2AE7" w:rsidRPr="00AF2AE7" w:rsidRDefault="00AF2AE7" w:rsidP="00AF2AE7">
      <w:r>
        <w:tab/>
        <w:t>T</w:t>
      </w:r>
      <w:r w:rsidR="000C6C68">
        <w:t>rapezoidal integration</w:t>
      </w:r>
      <w:bookmarkStart w:id="0" w:name="_GoBack"/>
      <w:bookmarkEnd w:id="0"/>
    </w:p>
    <w:sectPr w:rsidR="00AF2AE7" w:rsidRPr="00AF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91"/>
    <w:rsid w:val="000C6C68"/>
    <w:rsid w:val="00176092"/>
    <w:rsid w:val="0026620F"/>
    <w:rsid w:val="004E0CB8"/>
    <w:rsid w:val="006734E5"/>
    <w:rsid w:val="0075088A"/>
    <w:rsid w:val="007C5F91"/>
    <w:rsid w:val="009203C6"/>
    <w:rsid w:val="00A809D0"/>
    <w:rsid w:val="00AF2AE7"/>
    <w:rsid w:val="00B140B6"/>
    <w:rsid w:val="00D705CB"/>
    <w:rsid w:val="00F6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52F3"/>
  <w15:chartTrackingRefBased/>
  <w15:docId w15:val="{2F542401-A672-4F10-8E85-C90701E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5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5F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DC20264-1D98-44D8-814D-4D966C5F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Kamrath</dc:creator>
  <cp:keywords/>
  <dc:description/>
  <cp:lastModifiedBy>Brock Kamrath</cp:lastModifiedBy>
  <cp:revision>4</cp:revision>
  <dcterms:created xsi:type="dcterms:W3CDTF">2020-04-07T19:17:00Z</dcterms:created>
  <dcterms:modified xsi:type="dcterms:W3CDTF">2020-04-08T22:33:00Z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id="G90l5DqC"/&gt;&lt;style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