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18C6CC" w14:textId="77777777" w:rsidR="002B4523" w:rsidRDefault="002B4523" w:rsidP="002B4523">
      <w:pPr>
        <w:spacing w:before="192" w:after="192" w:line="480" w:lineRule="auto"/>
        <w:rPr>
          <w:b/>
        </w:rPr>
      </w:pPr>
      <w:bookmarkStart w:id="0" w:name="_GoBack"/>
      <w:bookmarkEnd w:id="0"/>
      <w:r>
        <w:rPr>
          <w:b/>
        </w:rPr>
        <w:t>Supporting Information</w:t>
      </w:r>
    </w:p>
    <w:p w14:paraId="2E8F3BC1" w14:textId="524CBE10" w:rsidR="002B4523" w:rsidRDefault="002B4523" w:rsidP="002B4523">
      <w:pPr>
        <w:spacing w:before="192" w:after="192" w:line="480" w:lineRule="auto"/>
        <w:rPr>
          <w:bCs/>
        </w:rPr>
      </w:pPr>
      <w:r>
        <w:rPr>
          <w:bCs/>
          <w:i/>
          <w:iCs/>
        </w:rPr>
        <w:t>Methods for the 1999 trend estimate</w:t>
      </w:r>
      <w:r>
        <w:rPr>
          <w:b/>
        </w:rPr>
        <w:br/>
      </w:r>
      <w:r>
        <w:rPr>
          <w:bCs/>
        </w:rPr>
        <w:t xml:space="preserve"> </w:t>
      </w:r>
      <w:r>
        <w:rPr>
          <w:bCs/>
        </w:rPr>
        <w:tab/>
      </w:r>
      <w:r w:rsidRPr="009D6F66">
        <w:rPr>
          <w:bCs/>
        </w:rPr>
        <w:t>For the three trend measures that are not flow-normalized (</w:t>
      </w:r>
      <w:r>
        <w:rPr>
          <w:bCs/>
        </w:rPr>
        <w:t>time-weighted mean concentration [TWMC]</w:t>
      </w:r>
      <w:r w:rsidRPr="009D6F66">
        <w:rPr>
          <w:bCs/>
        </w:rPr>
        <w:t>,</w:t>
      </w:r>
      <w:r>
        <w:rPr>
          <w:bCs/>
        </w:rPr>
        <w:t xml:space="preserve"> flow-weighted mean concentration</w:t>
      </w:r>
      <w:r w:rsidRPr="009D6F66">
        <w:rPr>
          <w:bCs/>
        </w:rPr>
        <w:t xml:space="preserve"> </w:t>
      </w:r>
      <w:r>
        <w:rPr>
          <w:bCs/>
        </w:rPr>
        <w:t>[</w:t>
      </w:r>
      <w:r w:rsidRPr="009D6F66">
        <w:rPr>
          <w:bCs/>
        </w:rPr>
        <w:t>FWMC</w:t>
      </w:r>
      <w:r>
        <w:rPr>
          <w:bCs/>
        </w:rPr>
        <w:t>]</w:t>
      </w:r>
      <w:r w:rsidRPr="009D6F66">
        <w:rPr>
          <w:bCs/>
        </w:rPr>
        <w:t xml:space="preserve">, and </w:t>
      </w:r>
      <w:r>
        <w:rPr>
          <w:bCs/>
        </w:rPr>
        <w:t>l</w:t>
      </w:r>
      <w:r w:rsidRPr="009D6F66">
        <w:rPr>
          <w:bCs/>
        </w:rPr>
        <w:t xml:space="preserve">oad) </w:t>
      </w:r>
      <w:r>
        <w:rPr>
          <w:bCs/>
        </w:rPr>
        <w:t>we used</w:t>
      </w:r>
      <w:r w:rsidRPr="009D6F66">
        <w:rPr>
          <w:bCs/>
        </w:rPr>
        <w:t xml:space="preserve"> the annual values for each of the years, 1990 through 1999, as published by Heidelberg University (these are the values shown on the plots in the two graphs in left columns of Figure 4).  The trend slopes are computed using the Thiel-Sen</w:t>
      </w:r>
      <w:r>
        <w:rPr>
          <w:bCs/>
        </w:rPr>
        <w:fldChar w:fldCharType="begin"/>
      </w:r>
      <w:r>
        <w:rPr>
          <w:bCs/>
        </w:rPr>
        <w:instrText xml:space="preserve"> ADDIN ZOTERO_ITEM CSL_CITATION {"citationID":"kzY5UON0","properties":{"formattedCitation":"\\super 1,2\\nosupersub{}","plainCitation":"1,2","noteIndex":0},"citationItems":[{"id":255,"uris":["http://zotero.org/users/local/SqRqosk1/items/XIRHFLXM"],"uri":["http://zotero.org/users/local/SqRqosk1/items/XIRHFLXM"],"itemData":{"id":255,"type":"chapter","container-title":"Henri Theil’s contributions to economics and econometrics","page":"345-381","publisher":"Springer","title":"A rank-invariant method of linear and polynomial regression analysis","author":[{"family":"Theil","given":"Henri"}],"issued":{"date-parts":[["1992"]]}}},{"id":254,"uris":["http://zotero.org/users/local/SqRqosk1/items/22LQWQTZ"],"uri":["http://zotero.org/users/local/SqRqosk1/items/22LQWQTZ"],"itemData":{"id":254,"type":"article-journal","container-title":"Journal of the American statistical association","ISSN":"0162-1459","issue":"324","journalAbbreviation":"Journal of the American statistical association","note":"publisher: Taylor &amp; Francis Group","page":"1379-1389","title":"Estimates of the regression coefficient based on Kendall's tau","volume":"63","author":[{"family":"Sen","given":"Pranab Kumar"}],"issued":{"date-parts":[["1968"]]}}}],"schema":"https://github.com/citation-style-language/schema/raw/master/csl-citation.json"} </w:instrText>
      </w:r>
      <w:r>
        <w:rPr>
          <w:bCs/>
        </w:rPr>
        <w:fldChar w:fldCharType="separate"/>
      </w:r>
      <w:r w:rsidRPr="002B4523">
        <w:rPr>
          <w:vertAlign w:val="superscript"/>
        </w:rPr>
        <w:t>1,2</w:t>
      </w:r>
      <w:r>
        <w:rPr>
          <w:bCs/>
        </w:rPr>
        <w:fldChar w:fldCharType="end"/>
      </w:r>
      <w:r w:rsidRPr="009D6F66">
        <w:rPr>
          <w:bCs/>
        </w:rPr>
        <w:t xml:space="preserve"> slope estimate</w:t>
      </w:r>
      <w:r>
        <w:rPr>
          <w:bCs/>
        </w:rPr>
        <w:t xml:space="preserve"> — </w:t>
      </w:r>
      <w:r w:rsidRPr="009D6F66">
        <w:rPr>
          <w:bCs/>
        </w:rPr>
        <w:t>which is closely related to the Mann-Kendall trend test</w:t>
      </w:r>
      <w:r>
        <w:rPr>
          <w:bCs/>
        </w:rPr>
        <w:t xml:space="preserve"> —</w:t>
      </w:r>
      <w:r w:rsidRPr="009D6F66">
        <w:rPr>
          <w:bCs/>
        </w:rPr>
        <w:t xml:space="preserve"> and its 90 percent confidence intervals are computed as described by Hollander and Wolfe</w:t>
      </w:r>
      <w:r>
        <w:rPr>
          <w:bCs/>
        </w:rPr>
        <w:fldChar w:fldCharType="begin"/>
      </w:r>
      <w:r>
        <w:rPr>
          <w:bCs/>
        </w:rPr>
        <w:instrText xml:space="preserve"> ADDIN ZOTERO_ITEM CSL_CITATION {"citationID":"jNehtq1G","properties":{"formattedCitation":"\\super 3\\nosupersub{}","plainCitation":"3","noteIndex":0},"citationItems":[{"id":252,"uris":["http://zotero.org/users/local/SqRqosk1/items/4IZ39ZBP"],"uri":["http://zotero.org/users/local/SqRqosk1/items/4IZ39ZBP"],"itemData":{"id":252,"type":"book","event-place":"New York","number-of-pages":"787","publisher":"John Wiley &amp; Sons","publisher-place":"New York","title":"Nonparametric statistical methods","author":[{"family":"Hollander","given":"Myles"},{"family":"Wolfe","given":"Douglas A"}],"issued":{"date-parts":[["1999"]]}},"locator":"424-426"}],"schema":"https://github.com/citation-style-language/schema/raw/master/csl-citation.json"} </w:instrText>
      </w:r>
      <w:r>
        <w:rPr>
          <w:bCs/>
        </w:rPr>
        <w:fldChar w:fldCharType="separate"/>
      </w:r>
      <w:r w:rsidRPr="002B4523">
        <w:rPr>
          <w:vertAlign w:val="superscript"/>
        </w:rPr>
        <w:t>3</w:t>
      </w:r>
      <w:r>
        <w:rPr>
          <w:bCs/>
        </w:rPr>
        <w:fldChar w:fldCharType="end"/>
      </w:r>
      <w:r w:rsidRPr="009D6F66">
        <w:rPr>
          <w:bCs/>
        </w:rPr>
        <w:t xml:space="preserve"> (p. 424-</w:t>
      </w:r>
      <w:r>
        <w:rPr>
          <w:bCs/>
        </w:rPr>
        <w:t>4</w:t>
      </w:r>
      <w:r w:rsidRPr="009D6F66">
        <w:rPr>
          <w:bCs/>
        </w:rPr>
        <w:t xml:space="preserve">26). For the flow-normalized estimates, the computations used the entire data set of samples collected during water years 1981 through 1999 but the trends evaluated only included the years 1990 through 1999. The data prior to 1990 are included in the estimation because they help constrain the estimates during the 1990–1999 trend period. The EGRET </w:t>
      </w:r>
      <w:r>
        <w:rPr>
          <w:bCs/>
        </w:rPr>
        <w:t>package</w:t>
      </w:r>
      <w:r>
        <w:rPr>
          <w:bCs/>
        </w:rPr>
        <w:fldChar w:fldCharType="begin"/>
      </w:r>
      <w:r>
        <w:rPr>
          <w:bCs/>
        </w:rPr>
        <w:instrText xml:space="preserve"> ADDIN ZOTERO_ITEM CSL_CITATION {"citationID":"GV6x6fD0","properties":{"formattedCitation":"\\super 4\\nosupersub{}","plainCitation":"4","noteIndex":0},"citationItems":[{"id":214,"uris":["http://zotero.org/users/local/SqRqosk1/items/XFHRAZ4B"],"uri":["http://zotero.org/users/local/SqRqosk1/items/XFHRAZ4B"],"itemData":{"id":214,"type":"report","number":"2328-7055","publisher":"US Geological Survey","title":"User guide to Exploration and Graphics for RivEr Trends (EGRET) and dataRetrieval: R packages for hydrologic data","author":[{"family":"Hirsch","given":"Robert M"},{"family":"De Cicco","given":"Laura A"}],"issued":{"date-parts":[["2015"]]}}}],"schema":"https://github.com/citation-style-language/schema/raw/master/csl-citation.json"} </w:instrText>
      </w:r>
      <w:r>
        <w:rPr>
          <w:bCs/>
        </w:rPr>
        <w:fldChar w:fldCharType="separate"/>
      </w:r>
      <w:r w:rsidRPr="002B4523">
        <w:rPr>
          <w:vertAlign w:val="superscript"/>
        </w:rPr>
        <w:t>4</w:t>
      </w:r>
      <w:r>
        <w:rPr>
          <w:bCs/>
        </w:rPr>
        <w:fldChar w:fldCharType="end"/>
      </w:r>
      <w:r w:rsidRPr="009D6F66">
        <w:rPr>
          <w:bCs/>
        </w:rPr>
        <w:t xml:space="preserve"> used</w:t>
      </w:r>
      <w:r>
        <w:rPr>
          <w:bCs/>
        </w:rPr>
        <w:t xml:space="preserve"> </w:t>
      </w:r>
      <w:r w:rsidRPr="009D6F66">
        <w:rPr>
          <w:bCs/>
        </w:rPr>
        <w:t xml:space="preserve">stationary flow normalization (generalized flow normalization is only appropriate when the trends being evaluated are greater than about 20 years). The </w:t>
      </w:r>
      <w:proofErr w:type="spellStart"/>
      <w:r w:rsidRPr="009D6F66">
        <w:rPr>
          <w:bCs/>
          <w:i/>
          <w:iCs/>
        </w:rPr>
        <w:t>runPairs</w:t>
      </w:r>
      <w:proofErr w:type="spellEnd"/>
      <w:r w:rsidRPr="009D6F66">
        <w:rPr>
          <w:bCs/>
        </w:rPr>
        <w:t xml:space="preserve"> function of EGRET was used. </w:t>
      </w:r>
      <w:r>
        <w:rPr>
          <w:bCs/>
        </w:rPr>
        <w:t>We computed</w:t>
      </w:r>
      <w:r w:rsidRPr="009D6F66">
        <w:rPr>
          <w:bCs/>
        </w:rPr>
        <w:t xml:space="preserve"> confidence intervals using the bootstrap procedure in the </w:t>
      </w:r>
      <w:proofErr w:type="spellStart"/>
      <w:r w:rsidRPr="009D6F66">
        <w:rPr>
          <w:bCs/>
        </w:rPr>
        <w:t>EGRETci</w:t>
      </w:r>
      <w:proofErr w:type="spellEnd"/>
      <w:r w:rsidRPr="009D6F66">
        <w:rPr>
          <w:bCs/>
        </w:rPr>
        <w:t xml:space="preserve"> </w:t>
      </w:r>
      <w:r>
        <w:rPr>
          <w:bCs/>
        </w:rPr>
        <w:t>package</w:t>
      </w:r>
      <w:r>
        <w:rPr>
          <w:bCs/>
        </w:rPr>
        <w:fldChar w:fldCharType="begin"/>
      </w:r>
      <w:r>
        <w:rPr>
          <w:bCs/>
        </w:rPr>
        <w:instrText xml:space="preserve"> ADDIN ZOTERO_ITEM CSL_CITATION {"citationID":"q9OUzA9l","properties":{"formattedCitation":"\\super 5\\nosupersub{}","plainCitation":"5","noteIndex":0},"citationItems":[{"id":215,"uris":["http://zotero.org/users/local/SqRqosk1/items/DU2ZXKJR"],"uri":["http://zotero.org/users/local/SqRqosk1/items/DU2ZXKJR"],"itemData":{"id":215,"type":"article-journal","container-title":"Environmental Modelling &amp; Software","DOI":"10.1016/j.envsoft.2015.07.017","ISSN":"13648152","journalAbbreviation":"Environmental Modelling &amp; Software","language":"en","page":"148-166","source":"DOI.org (Crossref)","title":"A bootstrap method for estimating uncertainty of water quality trends","volume":"73","author":[{"family":"Hirsch","given":"Robert M."},{"family":"Archfield","given":"Stacey A."},{"family":"De Cicco","given":"Laura A."}],"issued":{"date-parts":[["2015",11]]}}}],"schema":"https://github.com/citation-style-language/schema/raw/master/csl-citation.json"} </w:instrText>
      </w:r>
      <w:r>
        <w:rPr>
          <w:bCs/>
        </w:rPr>
        <w:fldChar w:fldCharType="separate"/>
      </w:r>
      <w:r w:rsidRPr="002B4523">
        <w:rPr>
          <w:vertAlign w:val="superscript"/>
        </w:rPr>
        <w:t>5</w:t>
      </w:r>
      <w:r>
        <w:rPr>
          <w:bCs/>
        </w:rPr>
        <w:fldChar w:fldCharType="end"/>
      </w:r>
      <w:r w:rsidRPr="009D6F66">
        <w:rPr>
          <w:bCs/>
        </w:rPr>
        <w:t xml:space="preserve">, implemented with the function </w:t>
      </w:r>
      <w:proofErr w:type="spellStart"/>
      <w:r w:rsidRPr="009D6F66">
        <w:rPr>
          <w:bCs/>
          <w:i/>
          <w:iCs/>
        </w:rPr>
        <w:t>runPairsBoot</w:t>
      </w:r>
      <w:proofErr w:type="spellEnd"/>
      <w:r w:rsidRPr="009D6F66">
        <w:rPr>
          <w:bCs/>
          <w:i/>
          <w:iCs/>
        </w:rPr>
        <w:t xml:space="preserve"> </w:t>
      </w:r>
      <w:r w:rsidRPr="009D6F66">
        <w:rPr>
          <w:bCs/>
        </w:rPr>
        <w:t>using 500 bootstrap replicates.</w:t>
      </w:r>
    </w:p>
    <w:p w14:paraId="294812B3" w14:textId="77777777" w:rsidR="002B4523" w:rsidRDefault="002B4523">
      <w:pPr>
        <w:spacing w:after="0" w:line="240" w:lineRule="auto"/>
        <w:rPr>
          <w:b/>
        </w:rPr>
      </w:pPr>
      <w:r>
        <w:rPr>
          <w:b/>
        </w:rPr>
        <w:br w:type="page"/>
      </w:r>
    </w:p>
    <w:p w14:paraId="65245B4E" w14:textId="212F2917" w:rsidR="002B4523" w:rsidRPr="002B4523" w:rsidRDefault="002B4523" w:rsidP="002B4523">
      <w:pPr>
        <w:spacing w:before="192" w:after="192" w:line="480" w:lineRule="auto"/>
        <w:rPr>
          <w:b/>
        </w:rPr>
      </w:pPr>
      <w:r>
        <w:rPr>
          <w:b/>
        </w:rPr>
        <w:lastRenderedPageBreak/>
        <w:t>References</w:t>
      </w:r>
    </w:p>
    <w:p w14:paraId="2C50ACFC" w14:textId="77777777" w:rsidR="002B4523" w:rsidRPr="002B4523" w:rsidRDefault="002B4523" w:rsidP="002B4523">
      <w:pPr>
        <w:pStyle w:val="Bibliography"/>
      </w:pPr>
      <w:r>
        <w:rPr>
          <w:b/>
        </w:rPr>
        <w:fldChar w:fldCharType="begin"/>
      </w:r>
      <w:r>
        <w:rPr>
          <w:b/>
        </w:rPr>
        <w:instrText xml:space="preserve"> ADDIN ZOTERO_BIBL {"uncited":[],"omitted":[],"custom":[]} CSL_BIBLIOGRAPHY </w:instrText>
      </w:r>
      <w:r>
        <w:rPr>
          <w:b/>
        </w:rPr>
        <w:fldChar w:fldCharType="separate"/>
      </w:r>
      <w:r w:rsidRPr="002B4523">
        <w:t xml:space="preserve">(1) </w:t>
      </w:r>
      <w:r w:rsidRPr="002B4523">
        <w:tab/>
        <w:t xml:space="preserve">Theil, H. A Rank-Invariant Method of Linear and Polynomial Regression Analysis. In </w:t>
      </w:r>
      <w:r w:rsidRPr="002B4523">
        <w:rPr>
          <w:i/>
          <w:iCs/>
        </w:rPr>
        <w:t>Henri Theil’s contributions to economics and econometrics</w:t>
      </w:r>
      <w:r w:rsidRPr="002B4523">
        <w:t>; Springer, 1992; pp 345–381.</w:t>
      </w:r>
    </w:p>
    <w:p w14:paraId="2E090B87" w14:textId="77777777" w:rsidR="002B4523" w:rsidRPr="002B4523" w:rsidRDefault="002B4523" w:rsidP="002B4523">
      <w:pPr>
        <w:pStyle w:val="Bibliography"/>
      </w:pPr>
      <w:r w:rsidRPr="002B4523">
        <w:t xml:space="preserve">(2) </w:t>
      </w:r>
      <w:r w:rsidRPr="002B4523">
        <w:tab/>
        <w:t xml:space="preserve">Sen, P. K. Estimates of the Regression Coefficient Based on Kendall’s Tau. </w:t>
      </w:r>
      <w:r w:rsidRPr="002B4523">
        <w:rPr>
          <w:i/>
          <w:iCs/>
        </w:rPr>
        <w:t>Journal of the American statistical association</w:t>
      </w:r>
      <w:r w:rsidRPr="002B4523">
        <w:t xml:space="preserve"> </w:t>
      </w:r>
      <w:r w:rsidRPr="002B4523">
        <w:rPr>
          <w:b/>
          <w:bCs/>
        </w:rPr>
        <w:t>1968</w:t>
      </w:r>
      <w:r w:rsidRPr="002B4523">
        <w:t xml:space="preserve">, </w:t>
      </w:r>
      <w:r w:rsidRPr="002B4523">
        <w:rPr>
          <w:i/>
          <w:iCs/>
        </w:rPr>
        <w:t>63</w:t>
      </w:r>
      <w:r w:rsidRPr="002B4523">
        <w:t xml:space="preserve"> (324), 1379–1389.</w:t>
      </w:r>
    </w:p>
    <w:p w14:paraId="2C0BF490" w14:textId="77777777" w:rsidR="002B4523" w:rsidRPr="002B4523" w:rsidRDefault="002B4523" w:rsidP="002B4523">
      <w:pPr>
        <w:pStyle w:val="Bibliography"/>
      </w:pPr>
      <w:r w:rsidRPr="002B4523">
        <w:t xml:space="preserve">(3) </w:t>
      </w:r>
      <w:r w:rsidRPr="002B4523">
        <w:tab/>
        <w:t xml:space="preserve">Hollander, M.; Wolfe, D. A. </w:t>
      </w:r>
      <w:r w:rsidRPr="002B4523">
        <w:rPr>
          <w:i/>
          <w:iCs/>
        </w:rPr>
        <w:t>Nonparametric Statistical Methods</w:t>
      </w:r>
      <w:r w:rsidRPr="002B4523">
        <w:t>; John Wiley &amp; Sons: New York, 1999.</w:t>
      </w:r>
    </w:p>
    <w:p w14:paraId="61B20CD4" w14:textId="77777777" w:rsidR="002B4523" w:rsidRPr="002B4523" w:rsidRDefault="002B4523" w:rsidP="002B4523">
      <w:pPr>
        <w:pStyle w:val="Bibliography"/>
      </w:pPr>
      <w:r w:rsidRPr="002B4523">
        <w:t xml:space="preserve">(4) </w:t>
      </w:r>
      <w:r w:rsidRPr="002B4523">
        <w:tab/>
        <w:t xml:space="preserve">Hirsch, R. M.; De </w:t>
      </w:r>
      <w:proofErr w:type="spellStart"/>
      <w:r w:rsidRPr="002B4523">
        <w:t>Cicco</w:t>
      </w:r>
      <w:proofErr w:type="spellEnd"/>
      <w:r w:rsidRPr="002B4523">
        <w:t xml:space="preserve">, L. A. </w:t>
      </w:r>
      <w:r w:rsidRPr="002B4523">
        <w:rPr>
          <w:i/>
          <w:iCs/>
        </w:rPr>
        <w:t xml:space="preserve">User Guide to Exploration and Graphics for </w:t>
      </w:r>
      <w:proofErr w:type="spellStart"/>
      <w:r w:rsidRPr="002B4523">
        <w:rPr>
          <w:i/>
          <w:iCs/>
        </w:rPr>
        <w:t>RivEr</w:t>
      </w:r>
      <w:proofErr w:type="spellEnd"/>
      <w:r w:rsidRPr="002B4523">
        <w:rPr>
          <w:i/>
          <w:iCs/>
        </w:rPr>
        <w:t xml:space="preserve"> Trends (EGRET) and </w:t>
      </w:r>
      <w:proofErr w:type="spellStart"/>
      <w:r w:rsidRPr="002B4523">
        <w:rPr>
          <w:i/>
          <w:iCs/>
        </w:rPr>
        <w:t>DataRetrieval</w:t>
      </w:r>
      <w:proofErr w:type="spellEnd"/>
      <w:r w:rsidRPr="002B4523">
        <w:rPr>
          <w:i/>
          <w:iCs/>
        </w:rPr>
        <w:t>: R Packages for Hydrologic Data</w:t>
      </w:r>
      <w:r w:rsidRPr="002B4523">
        <w:t>; 2328–7055; US Geological Survey, 2015.</w:t>
      </w:r>
    </w:p>
    <w:p w14:paraId="06A31D07" w14:textId="77777777" w:rsidR="002B4523" w:rsidRPr="002B4523" w:rsidRDefault="002B4523" w:rsidP="002B4523">
      <w:pPr>
        <w:pStyle w:val="Bibliography"/>
      </w:pPr>
      <w:r w:rsidRPr="002B4523">
        <w:t xml:space="preserve">(5) </w:t>
      </w:r>
      <w:r w:rsidRPr="002B4523">
        <w:tab/>
        <w:t xml:space="preserve">Hirsch, R. M.; </w:t>
      </w:r>
      <w:proofErr w:type="spellStart"/>
      <w:r w:rsidRPr="002B4523">
        <w:t>Archfield</w:t>
      </w:r>
      <w:proofErr w:type="spellEnd"/>
      <w:r w:rsidRPr="002B4523">
        <w:t xml:space="preserve">, S. A.; De </w:t>
      </w:r>
      <w:proofErr w:type="spellStart"/>
      <w:r w:rsidRPr="002B4523">
        <w:t>Cicco</w:t>
      </w:r>
      <w:proofErr w:type="spellEnd"/>
      <w:r w:rsidRPr="002B4523">
        <w:t xml:space="preserve">, L. A. A Bootstrap Method for Estimating Uncertainty of Water Quality Trends. </w:t>
      </w:r>
      <w:r w:rsidRPr="002B4523">
        <w:rPr>
          <w:i/>
          <w:iCs/>
        </w:rPr>
        <w:t>Environmental Modelling &amp; Software</w:t>
      </w:r>
      <w:r w:rsidRPr="002B4523">
        <w:t xml:space="preserve"> </w:t>
      </w:r>
      <w:r w:rsidRPr="002B4523">
        <w:rPr>
          <w:b/>
          <w:bCs/>
        </w:rPr>
        <w:t>2015</w:t>
      </w:r>
      <w:r w:rsidRPr="002B4523">
        <w:t xml:space="preserve">, </w:t>
      </w:r>
      <w:r w:rsidRPr="002B4523">
        <w:rPr>
          <w:i/>
          <w:iCs/>
        </w:rPr>
        <w:t>73</w:t>
      </w:r>
      <w:r w:rsidRPr="002B4523">
        <w:t>, 148–166. https://doi.org/10.1016/j.envsoft.2015.07.017.</w:t>
      </w:r>
    </w:p>
    <w:p w14:paraId="47F42512" w14:textId="3CD0CFF7" w:rsidR="002B4523" w:rsidRDefault="002B4523" w:rsidP="002B4523">
      <w:pPr>
        <w:rPr>
          <w:b/>
        </w:rPr>
      </w:pPr>
      <w:r>
        <w:rPr>
          <w:b/>
        </w:rPr>
        <w:fldChar w:fldCharType="end"/>
      </w:r>
      <w:r>
        <w:rPr>
          <w:b/>
        </w:rPr>
        <w:br w:type="page"/>
      </w:r>
    </w:p>
    <w:p w14:paraId="7C3EED3A" w14:textId="77777777" w:rsidR="002B4523" w:rsidRPr="00FE21F5" w:rsidRDefault="002B4523" w:rsidP="002B4523">
      <w:pPr>
        <w:spacing w:line="480" w:lineRule="auto"/>
      </w:pPr>
      <w:r w:rsidRPr="00FE21F5">
        <w:rPr>
          <w:b/>
          <w:bCs/>
        </w:rPr>
        <w:lastRenderedPageBreak/>
        <w:t xml:space="preserve">Table </w:t>
      </w:r>
      <w:r>
        <w:rPr>
          <w:b/>
          <w:bCs/>
        </w:rPr>
        <w:t>S</w:t>
      </w:r>
      <w:r w:rsidRPr="00FE21F5">
        <w:rPr>
          <w:b/>
          <w:bCs/>
        </w:rPr>
        <w:t>1</w:t>
      </w:r>
      <w:r>
        <w:rPr>
          <w:b/>
          <w:bCs/>
        </w:rPr>
        <w:t xml:space="preserve">. </w:t>
      </w:r>
      <w:r w:rsidRPr="00FE21F5">
        <w:t>The three streams in the present study are all tributaries to Lake Erie with daily flow data from the USGS and at least daily nutrient data from Heidelberg University National Center for Water Quality Research.</w:t>
      </w:r>
    </w:p>
    <w:tbl>
      <w:tblPr>
        <w:tblW w:w="9344" w:type="dxa"/>
        <w:tblLayout w:type="fixed"/>
        <w:tblLook w:val="0400" w:firstRow="0" w:lastRow="0" w:firstColumn="0" w:lastColumn="0" w:noHBand="0" w:noVBand="1"/>
      </w:tblPr>
      <w:tblGrid>
        <w:gridCol w:w="1853"/>
        <w:gridCol w:w="1418"/>
        <w:gridCol w:w="1550"/>
        <w:gridCol w:w="2158"/>
        <w:gridCol w:w="2365"/>
      </w:tblGrid>
      <w:tr w:rsidR="002B4523" w:rsidRPr="00FE21F5" w14:paraId="2CCBF021" w14:textId="77777777" w:rsidTr="00A64DFC">
        <w:tc>
          <w:tcPr>
            <w:tcW w:w="1853"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tcPr>
          <w:p w14:paraId="151FCFBF" w14:textId="77777777" w:rsidR="002B4523" w:rsidRPr="00FE21F5" w:rsidRDefault="002B4523" w:rsidP="00A64DFC">
            <w:pPr>
              <w:spacing w:after="0" w:line="480" w:lineRule="auto"/>
              <w:rPr>
                <w:rFonts w:ascii="Arial" w:eastAsia="Arial" w:hAnsi="Arial" w:cs="Arial"/>
                <w:b/>
                <w:sz w:val="22"/>
                <w:szCs w:val="22"/>
              </w:rPr>
            </w:pPr>
            <w:r w:rsidRPr="00FE21F5">
              <w:rPr>
                <w:rFonts w:ascii="Arial" w:eastAsia="Arial" w:hAnsi="Arial" w:cs="Arial"/>
                <w:b/>
                <w:sz w:val="22"/>
                <w:szCs w:val="22"/>
              </w:rPr>
              <w:t>Station</w:t>
            </w:r>
          </w:p>
        </w:tc>
        <w:tc>
          <w:tcPr>
            <w:tcW w:w="1418"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tcPr>
          <w:p w14:paraId="007187AA" w14:textId="77777777" w:rsidR="002B4523" w:rsidRPr="00FE21F5" w:rsidRDefault="002B4523" w:rsidP="00A64DFC">
            <w:pPr>
              <w:spacing w:after="0" w:line="480" w:lineRule="auto"/>
              <w:rPr>
                <w:rFonts w:ascii="Arial" w:eastAsia="Arial" w:hAnsi="Arial" w:cs="Arial"/>
                <w:b/>
                <w:sz w:val="22"/>
                <w:szCs w:val="22"/>
              </w:rPr>
            </w:pPr>
            <w:r w:rsidRPr="00FE21F5">
              <w:rPr>
                <w:rFonts w:ascii="Arial" w:eastAsia="Arial" w:hAnsi="Arial" w:cs="Arial"/>
                <w:b/>
                <w:sz w:val="22"/>
                <w:szCs w:val="22"/>
              </w:rPr>
              <w:t>Latitude</w:t>
            </w:r>
          </w:p>
        </w:tc>
        <w:tc>
          <w:tcPr>
            <w:tcW w:w="1550"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tcPr>
          <w:p w14:paraId="1E6E3DDB" w14:textId="77777777" w:rsidR="002B4523" w:rsidRPr="00FE21F5" w:rsidRDefault="002B4523" w:rsidP="00A64DFC">
            <w:pPr>
              <w:spacing w:after="0" w:line="480" w:lineRule="auto"/>
              <w:rPr>
                <w:rFonts w:ascii="Arial" w:eastAsia="Arial" w:hAnsi="Arial" w:cs="Arial"/>
                <w:b/>
                <w:sz w:val="22"/>
                <w:szCs w:val="22"/>
              </w:rPr>
            </w:pPr>
            <w:r w:rsidRPr="00FE21F5">
              <w:rPr>
                <w:rFonts w:ascii="Arial" w:eastAsia="Arial" w:hAnsi="Arial" w:cs="Arial"/>
                <w:b/>
                <w:sz w:val="22"/>
                <w:szCs w:val="22"/>
              </w:rPr>
              <w:t>Longitude</w:t>
            </w:r>
          </w:p>
        </w:tc>
        <w:tc>
          <w:tcPr>
            <w:tcW w:w="2158"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tcPr>
          <w:p w14:paraId="0647BDC6" w14:textId="77777777" w:rsidR="002B4523" w:rsidRPr="00FE21F5" w:rsidRDefault="002B4523" w:rsidP="00A64DFC">
            <w:pPr>
              <w:spacing w:after="0" w:line="480" w:lineRule="auto"/>
              <w:rPr>
                <w:rFonts w:ascii="Arial" w:eastAsia="Arial" w:hAnsi="Arial" w:cs="Arial"/>
                <w:b/>
                <w:sz w:val="22"/>
                <w:szCs w:val="22"/>
              </w:rPr>
            </w:pPr>
            <w:r w:rsidRPr="00FE21F5">
              <w:rPr>
                <w:rFonts w:ascii="Arial" w:eastAsia="Arial" w:hAnsi="Arial" w:cs="Arial"/>
                <w:b/>
                <w:sz w:val="22"/>
                <w:szCs w:val="22"/>
              </w:rPr>
              <w:t>Drainage Area (km</w:t>
            </w:r>
            <w:r w:rsidRPr="00FE21F5">
              <w:rPr>
                <w:rFonts w:ascii="Arial" w:eastAsia="Arial" w:hAnsi="Arial" w:cs="Arial"/>
                <w:b/>
                <w:sz w:val="22"/>
                <w:szCs w:val="22"/>
                <w:vertAlign w:val="superscript"/>
              </w:rPr>
              <w:t>2</w:t>
            </w:r>
            <w:r w:rsidRPr="00FE21F5">
              <w:rPr>
                <w:rFonts w:ascii="Arial" w:eastAsia="Arial" w:hAnsi="Arial" w:cs="Arial"/>
                <w:b/>
                <w:sz w:val="22"/>
                <w:szCs w:val="22"/>
              </w:rPr>
              <w:t>)</w:t>
            </w:r>
          </w:p>
        </w:tc>
        <w:tc>
          <w:tcPr>
            <w:tcW w:w="2365"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tcPr>
          <w:p w14:paraId="0948114A" w14:textId="77777777" w:rsidR="002B4523" w:rsidRPr="00FE21F5" w:rsidRDefault="002B4523" w:rsidP="00A64DFC">
            <w:pPr>
              <w:spacing w:after="0" w:line="480" w:lineRule="auto"/>
              <w:rPr>
                <w:rFonts w:ascii="Arial" w:eastAsia="Arial" w:hAnsi="Arial" w:cs="Arial"/>
                <w:b/>
                <w:sz w:val="22"/>
                <w:szCs w:val="22"/>
              </w:rPr>
            </w:pPr>
            <w:r w:rsidRPr="00FE21F5">
              <w:rPr>
                <w:rFonts w:ascii="Arial" w:eastAsia="Arial" w:hAnsi="Arial" w:cs="Arial"/>
                <w:b/>
                <w:sz w:val="22"/>
                <w:szCs w:val="22"/>
              </w:rPr>
              <w:t>USGS stream gauge ID</w:t>
            </w:r>
          </w:p>
        </w:tc>
      </w:tr>
      <w:tr w:rsidR="002B4523" w:rsidRPr="00FE21F5" w14:paraId="7B0F4C73" w14:textId="77777777" w:rsidTr="00A64DFC">
        <w:tc>
          <w:tcPr>
            <w:tcW w:w="1853"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14:paraId="26C7F293" w14:textId="77777777" w:rsidR="002B4523" w:rsidRPr="00FE21F5" w:rsidRDefault="002B4523" w:rsidP="00A64DFC">
            <w:pPr>
              <w:spacing w:after="0" w:line="480" w:lineRule="auto"/>
              <w:rPr>
                <w:rFonts w:ascii="Arial" w:eastAsia="Arial" w:hAnsi="Arial" w:cs="Arial"/>
                <w:sz w:val="22"/>
                <w:szCs w:val="22"/>
              </w:rPr>
            </w:pPr>
            <w:r w:rsidRPr="00FE21F5">
              <w:rPr>
                <w:rFonts w:ascii="Arial" w:eastAsia="Arial" w:hAnsi="Arial" w:cs="Arial"/>
                <w:sz w:val="22"/>
                <w:szCs w:val="22"/>
              </w:rPr>
              <w:t>Maumee River</w:t>
            </w:r>
          </w:p>
        </w:tc>
        <w:tc>
          <w:tcPr>
            <w:tcW w:w="1418"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14:paraId="5FB1C5A8" w14:textId="77777777" w:rsidR="002B4523" w:rsidRPr="00FE21F5" w:rsidRDefault="002B4523" w:rsidP="00A64DFC">
            <w:pPr>
              <w:spacing w:after="0" w:line="480" w:lineRule="auto"/>
              <w:rPr>
                <w:rFonts w:ascii="Arial" w:eastAsia="Arial" w:hAnsi="Arial" w:cs="Arial"/>
                <w:sz w:val="22"/>
                <w:szCs w:val="22"/>
              </w:rPr>
            </w:pPr>
            <w:r w:rsidRPr="00FE21F5">
              <w:rPr>
                <w:rFonts w:ascii="Arial" w:eastAsia="Arial" w:hAnsi="Arial" w:cs="Arial"/>
                <w:sz w:val="22"/>
                <w:szCs w:val="22"/>
              </w:rPr>
              <w:t>41°30'00"</w:t>
            </w:r>
          </w:p>
        </w:tc>
        <w:tc>
          <w:tcPr>
            <w:tcW w:w="1550"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14:paraId="41F8B4D5" w14:textId="77777777" w:rsidR="002B4523" w:rsidRPr="00FE21F5" w:rsidRDefault="002B4523" w:rsidP="00A64DFC">
            <w:pPr>
              <w:spacing w:after="0" w:line="480" w:lineRule="auto"/>
              <w:rPr>
                <w:rFonts w:ascii="Arial" w:eastAsia="Arial" w:hAnsi="Arial" w:cs="Arial"/>
                <w:sz w:val="22"/>
                <w:szCs w:val="22"/>
              </w:rPr>
            </w:pPr>
            <w:r w:rsidRPr="00FE21F5">
              <w:rPr>
                <w:rFonts w:ascii="Arial" w:eastAsia="Arial" w:hAnsi="Arial" w:cs="Arial"/>
                <w:sz w:val="22"/>
                <w:szCs w:val="22"/>
              </w:rPr>
              <w:t>83°42'46"</w:t>
            </w:r>
          </w:p>
        </w:tc>
        <w:tc>
          <w:tcPr>
            <w:tcW w:w="2158"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14:paraId="7D3E15A9" w14:textId="77777777" w:rsidR="002B4523" w:rsidRPr="00FE21F5" w:rsidRDefault="002B4523" w:rsidP="00A64DFC">
            <w:pPr>
              <w:spacing w:after="0" w:line="480" w:lineRule="auto"/>
              <w:rPr>
                <w:rFonts w:ascii="Arial" w:eastAsia="Arial" w:hAnsi="Arial" w:cs="Arial"/>
                <w:sz w:val="22"/>
                <w:szCs w:val="22"/>
              </w:rPr>
            </w:pPr>
            <w:r w:rsidRPr="00FE21F5">
              <w:rPr>
                <w:rFonts w:ascii="Arial" w:eastAsia="Arial" w:hAnsi="Arial" w:cs="Arial"/>
                <w:sz w:val="22"/>
                <w:szCs w:val="22"/>
              </w:rPr>
              <w:t>16,395</w:t>
            </w:r>
          </w:p>
        </w:tc>
        <w:tc>
          <w:tcPr>
            <w:tcW w:w="2365"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14:paraId="51D1DCC5" w14:textId="77777777" w:rsidR="002B4523" w:rsidRPr="00FE21F5" w:rsidRDefault="002B4523" w:rsidP="00A64DFC">
            <w:pPr>
              <w:spacing w:after="0" w:line="480" w:lineRule="auto"/>
              <w:rPr>
                <w:rFonts w:ascii="Arial" w:eastAsia="Arial" w:hAnsi="Arial" w:cs="Arial"/>
                <w:sz w:val="22"/>
                <w:szCs w:val="22"/>
              </w:rPr>
            </w:pPr>
            <w:r w:rsidRPr="00FE21F5">
              <w:rPr>
                <w:rFonts w:ascii="Arial" w:eastAsia="Arial" w:hAnsi="Arial" w:cs="Arial"/>
                <w:sz w:val="22"/>
                <w:szCs w:val="22"/>
              </w:rPr>
              <w:t>04193500</w:t>
            </w:r>
          </w:p>
        </w:tc>
      </w:tr>
      <w:tr w:rsidR="002B4523" w:rsidRPr="00FE21F5" w14:paraId="65C06790" w14:textId="77777777" w:rsidTr="00A64DFC">
        <w:tc>
          <w:tcPr>
            <w:tcW w:w="1853"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14:paraId="14F4E4A5" w14:textId="77777777" w:rsidR="002B4523" w:rsidRPr="00FE21F5" w:rsidRDefault="002B4523" w:rsidP="00A64DFC">
            <w:pPr>
              <w:spacing w:after="0" w:line="480" w:lineRule="auto"/>
              <w:rPr>
                <w:rFonts w:ascii="Arial" w:eastAsia="Arial" w:hAnsi="Arial" w:cs="Arial"/>
                <w:sz w:val="22"/>
                <w:szCs w:val="22"/>
              </w:rPr>
            </w:pPr>
            <w:r w:rsidRPr="00FE21F5">
              <w:rPr>
                <w:rFonts w:ascii="Arial" w:eastAsia="Arial" w:hAnsi="Arial" w:cs="Arial"/>
                <w:sz w:val="22"/>
                <w:szCs w:val="22"/>
              </w:rPr>
              <w:t>River Raisin</w:t>
            </w:r>
          </w:p>
        </w:tc>
        <w:tc>
          <w:tcPr>
            <w:tcW w:w="1418"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14:paraId="11F45401" w14:textId="77777777" w:rsidR="002B4523" w:rsidRPr="00FE21F5" w:rsidRDefault="002B4523" w:rsidP="00A64DFC">
            <w:pPr>
              <w:spacing w:after="0" w:line="480" w:lineRule="auto"/>
              <w:rPr>
                <w:rFonts w:ascii="Arial" w:eastAsia="Arial" w:hAnsi="Arial" w:cs="Arial"/>
                <w:sz w:val="22"/>
                <w:szCs w:val="22"/>
              </w:rPr>
            </w:pPr>
            <w:r w:rsidRPr="00FE21F5">
              <w:rPr>
                <w:rFonts w:ascii="Arial" w:eastAsia="Arial" w:hAnsi="Arial" w:cs="Arial"/>
                <w:sz w:val="22"/>
                <w:szCs w:val="22"/>
              </w:rPr>
              <w:t>41°57'38"</w:t>
            </w:r>
          </w:p>
        </w:tc>
        <w:tc>
          <w:tcPr>
            <w:tcW w:w="1550"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14:paraId="65475778" w14:textId="77777777" w:rsidR="002B4523" w:rsidRPr="00FE21F5" w:rsidRDefault="002B4523" w:rsidP="00A64DFC">
            <w:pPr>
              <w:spacing w:after="0" w:line="480" w:lineRule="auto"/>
              <w:rPr>
                <w:rFonts w:ascii="Arial" w:eastAsia="Arial" w:hAnsi="Arial" w:cs="Arial"/>
                <w:sz w:val="22"/>
                <w:szCs w:val="22"/>
              </w:rPr>
            </w:pPr>
            <w:r w:rsidRPr="00FE21F5">
              <w:rPr>
                <w:rFonts w:ascii="Arial" w:eastAsia="Arial" w:hAnsi="Arial" w:cs="Arial"/>
                <w:sz w:val="22"/>
                <w:szCs w:val="22"/>
              </w:rPr>
              <w:t>83°31'52"</w:t>
            </w:r>
          </w:p>
        </w:tc>
        <w:tc>
          <w:tcPr>
            <w:tcW w:w="2158"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14:paraId="7CF37DC4" w14:textId="77777777" w:rsidR="002B4523" w:rsidRPr="00FE21F5" w:rsidRDefault="002B4523" w:rsidP="00A64DFC">
            <w:pPr>
              <w:spacing w:after="0" w:line="480" w:lineRule="auto"/>
              <w:rPr>
                <w:rFonts w:ascii="Arial" w:eastAsia="Arial" w:hAnsi="Arial" w:cs="Arial"/>
                <w:sz w:val="22"/>
                <w:szCs w:val="22"/>
              </w:rPr>
            </w:pPr>
            <w:r w:rsidRPr="00FE21F5">
              <w:rPr>
                <w:rFonts w:ascii="Arial" w:eastAsia="Arial" w:hAnsi="Arial" w:cs="Arial"/>
                <w:sz w:val="22"/>
                <w:szCs w:val="22"/>
              </w:rPr>
              <w:t>2,699</w:t>
            </w:r>
          </w:p>
        </w:tc>
        <w:tc>
          <w:tcPr>
            <w:tcW w:w="236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14:paraId="242CCCFA" w14:textId="77777777" w:rsidR="002B4523" w:rsidRPr="00FE21F5" w:rsidRDefault="002B4523" w:rsidP="00A64DFC">
            <w:pPr>
              <w:spacing w:after="0" w:line="480" w:lineRule="auto"/>
              <w:rPr>
                <w:rFonts w:ascii="Arial" w:eastAsia="Arial" w:hAnsi="Arial" w:cs="Arial"/>
                <w:sz w:val="22"/>
                <w:szCs w:val="22"/>
              </w:rPr>
            </w:pPr>
            <w:r w:rsidRPr="00FE21F5">
              <w:rPr>
                <w:rFonts w:ascii="Arial" w:eastAsia="Arial" w:hAnsi="Arial" w:cs="Arial"/>
                <w:sz w:val="22"/>
                <w:szCs w:val="22"/>
              </w:rPr>
              <w:t>04176500</w:t>
            </w:r>
          </w:p>
        </w:tc>
      </w:tr>
      <w:tr w:rsidR="002B4523" w:rsidRPr="00FE21F5" w14:paraId="6230EA3F" w14:textId="77777777" w:rsidTr="00A64DFC">
        <w:tc>
          <w:tcPr>
            <w:tcW w:w="1853"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14:paraId="2151E9DD" w14:textId="77777777" w:rsidR="002B4523" w:rsidRPr="00FE21F5" w:rsidRDefault="002B4523" w:rsidP="00A64DFC">
            <w:pPr>
              <w:spacing w:after="0" w:line="480" w:lineRule="auto"/>
              <w:rPr>
                <w:rFonts w:ascii="Arial" w:eastAsia="Arial" w:hAnsi="Arial" w:cs="Arial"/>
                <w:sz w:val="22"/>
                <w:szCs w:val="22"/>
              </w:rPr>
            </w:pPr>
            <w:r w:rsidRPr="00FE21F5">
              <w:rPr>
                <w:rFonts w:ascii="Arial" w:eastAsia="Arial" w:hAnsi="Arial" w:cs="Arial"/>
                <w:sz w:val="22"/>
                <w:szCs w:val="22"/>
              </w:rPr>
              <w:t>Cuyahoga River</w:t>
            </w:r>
          </w:p>
        </w:tc>
        <w:tc>
          <w:tcPr>
            <w:tcW w:w="1418"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14:paraId="5E858200" w14:textId="77777777" w:rsidR="002B4523" w:rsidRPr="00FE21F5" w:rsidRDefault="002B4523" w:rsidP="00A64DFC">
            <w:pPr>
              <w:spacing w:after="0" w:line="480" w:lineRule="auto"/>
              <w:rPr>
                <w:rFonts w:ascii="Arial" w:eastAsia="Arial" w:hAnsi="Arial" w:cs="Arial"/>
                <w:sz w:val="22"/>
                <w:szCs w:val="22"/>
              </w:rPr>
            </w:pPr>
            <w:r w:rsidRPr="00FE21F5">
              <w:rPr>
                <w:rFonts w:ascii="Arial" w:eastAsia="Arial" w:hAnsi="Arial" w:cs="Arial"/>
                <w:sz w:val="22"/>
                <w:szCs w:val="22"/>
              </w:rPr>
              <w:t>41°23'43"</w:t>
            </w:r>
          </w:p>
        </w:tc>
        <w:tc>
          <w:tcPr>
            <w:tcW w:w="1550"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14:paraId="42D9151D" w14:textId="77777777" w:rsidR="002B4523" w:rsidRPr="00FE21F5" w:rsidRDefault="002B4523" w:rsidP="00A64DFC">
            <w:pPr>
              <w:spacing w:after="0" w:line="480" w:lineRule="auto"/>
              <w:rPr>
                <w:rFonts w:ascii="Arial" w:eastAsia="Arial" w:hAnsi="Arial" w:cs="Arial"/>
                <w:sz w:val="22"/>
                <w:szCs w:val="22"/>
              </w:rPr>
            </w:pPr>
            <w:r w:rsidRPr="00FE21F5">
              <w:rPr>
                <w:rFonts w:ascii="Arial" w:eastAsia="Arial" w:hAnsi="Arial" w:cs="Arial"/>
                <w:sz w:val="22"/>
                <w:szCs w:val="22"/>
              </w:rPr>
              <w:t>81°37'48"</w:t>
            </w:r>
          </w:p>
        </w:tc>
        <w:tc>
          <w:tcPr>
            <w:tcW w:w="2158"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14:paraId="1D0BCE95" w14:textId="77777777" w:rsidR="002B4523" w:rsidRPr="00FE21F5" w:rsidRDefault="002B4523" w:rsidP="00A64DFC">
            <w:pPr>
              <w:spacing w:after="0" w:line="480" w:lineRule="auto"/>
              <w:rPr>
                <w:rFonts w:ascii="Arial" w:eastAsia="Arial" w:hAnsi="Arial" w:cs="Arial"/>
                <w:sz w:val="22"/>
                <w:szCs w:val="22"/>
              </w:rPr>
            </w:pPr>
            <w:r w:rsidRPr="00FE21F5">
              <w:rPr>
                <w:rFonts w:ascii="Arial" w:eastAsia="Arial" w:hAnsi="Arial" w:cs="Arial"/>
                <w:sz w:val="22"/>
                <w:szCs w:val="22"/>
              </w:rPr>
              <w:t>1,831</w:t>
            </w:r>
          </w:p>
        </w:tc>
        <w:tc>
          <w:tcPr>
            <w:tcW w:w="2365"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14:paraId="6900E3D2" w14:textId="77777777" w:rsidR="002B4523" w:rsidRPr="00FE21F5" w:rsidRDefault="002B4523" w:rsidP="00A64DFC">
            <w:pPr>
              <w:spacing w:after="0" w:line="480" w:lineRule="auto"/>
              <w:rPr>
                <w:rFonts w:ascii="Arial" w:eastAsia="Arial" w:hAnsi="Arial" w:cs="Arial"/>
                <w:sz w:val="22"/>
                <w:szCs w:val="22"/>
              </w:rPr>
            </w:pPr>
            <w:r w:rsidRPr="00FE21F5">
              <w:rPr>
                <w:rFonts w:ascii="Arial" w:eastAsia="Arial" w:hAnsi="Arial" w:cs="Arial"/>
                <w:sz w:val="22"/>
                <w:szCs w:val="22"/>
              </w:rPr>
              <w:t>04208000</w:t>
            </w:r>
          </w:p>
        </w:tc>
      </w:tr>
    </w:tbl>
    <w:p w14:paraId="09974F80" w14:textId="77777777" w:rsidR="002B4523" w:rsidRDefault="002B4523" w:rsidP="002B4523">
      <w:pPr>
        <w:rPr>
          <w:b/>
        </w:rPr>
      </w:pPr>
      <w:r>
        <w:rPr>
          <w:b/>
        </w:rPr>
        <w:br w:type="page"/>
      </w:r>
    </w:p>
    <w:p w14:paraId="0CD1A876" w14:textId="77777777" w:rsidR="002B4523" w:rsidRDefault="002B4523" w:rsidP="002B4523">
      <w:pPr>
        <w:spacing w:before="192" w:after="192" w:line="480" w:lineRule="auto"/>
        <w:rPr>
          <w:b/>
        </w:rPr>
      </w:pPr>
      <w:r>
        <w:rPr>
          <w:b/>
        </w:rPr>
        <w:lastRenderedPageBreak/>
        <w:t>Supplementary Figure Captions</w:t>
      </w:r>
    </w:p>
    <w:p w14:paraId="62386ADE" w14:textId="77777777" w:rsidR="002B4523" w:rsidRPr="00FE21F5" w:rsidRDefault="002B4523" w:rsidP="002B4523">
      <w:pPr>
        <w:spacing w:before="192" w:after="192" w:line="480" w:lineRule="auto"/>
      </w:pPr>
      <w:r w:rsidRPr="00FE21F5">
        <w:rPr>
          <w:b/>
        </w:rPr>
        <w:t>Figure S1</w:t>
      </w:r>
      <w:r w:rsidRPr="00FE21F5">
        <w:t>. TP concentration (top row) comparison between flow-normalized concentration from WRTDS, flow-weighted mean concentrations, and time-weighted mean concentrations. Flux (bottom row) is calculated the traditional way (dark blue) or using WRTDS to flow-normalize (light blue). Pearson correlation coefficients match point color schemes.</w:t>
      </w:r>
    </w:p>
    <w:p w14:paraId="2968A2BD" w14:textId="77777777" w:rsidR="002B4523" w:rsidRPr="00FE21F5" w:rsidRDefault="002B4523" w:rsidP="002B4523">
      <w:pPr>
        <w:spacing w:before="192" w:after="192" w:line="480" w:lineRule="auto"/>
      </w:pPr>
      <w:r w:rsidRPr="00FE21F5">
        <w:rPr>
          <w:b/>
        </w:rPr>
        <w:t>Figure S2</w:t>
      </w:r>
      <w:r w:rsidRPr="00FE21F5">
        <w:t xml:space="preserve">. SRP concentration (top row) comparison between flow-normalized concentration from WRTDS (gray), flow-weighted mean concentrations (orange), and time-weighted mean concentrations (purple). Flux (bottom row) is calculated the traditional way (dark blue) or using WRTDS to flow-normalize (light blue). Pearson correlation coefficients match point color schemes. </w:t>
      </w:r>
    </w:p>
    <w:p w14:paraId="2E37E934" w14:textId="77777777" w:rsidR="002B4523" w:rsidRPr="00FE21F5" w:rsidRDefault="002B4523" w:rsidP="002B4523">
      <w:pPr>
        <w:spacing w:before="192" w:after="192" w:line="480" w:lineRule="auto"/>
      </w:pPr>
      <w:r w:rsidRPr="00FE21F5">
        <w:rPr>
          <w:b/>
        </w:rPr>
        <w:t>Figure S3</w:t>
      </w:r>
      <w:r w:rsidRPr="00FE21F5">
        <w:t>. TN concentration (top row) comparison between flow-normalized concentration from WRTDS, flow-weighted mean concentrations, and time-weighted mean concentrations. Flux (bottom row) is calculated the traditional way (dark blue) or using WRTDS to flow-normalize (light blue). Pearson correlation coefficients match point color schemes.</w:t>
      </w:r>
    </w:p>
    <w:p w14:paraId="31FA40BD" w14:textId="77777777" w:rsidR="002B4523" w:rsidRPr="00FE21F5" w:rsidRDefault="002B4523" w:rsidP="002B4523">
      <w:pPr>
        <w:spacing w:before="192" w:after="192" w:line="480" w:lineRule="auto"/>
      </w:pPr>
      <w:r w:rsidRPr="00FE21F5">
        <w:rPr>
          <w:b/>
        </w:rPr>
        <w:t>Figure S4</w:t>
      </w:r>
      <w:r w:rsidRPr="00FE21F5">
        <w:t>. Nitrate/nitrate concentration (top row) comparison between flow-normalized concentration from WRTDS, flow-weighted mean concentrations, and time-weighted mean concentrations. Flux (bottom row) is calculated the traditional way (dark blue) or using WRTDS to flow-normalize (light blue). Pearson correlation coefficients match point color schemes.</w:t>
      </w:r>
    </w:p>
    <w:p w14:paraId="68926C1F" w14:textId="77777777" w:rsidR="002B4523" w:rsidRPr="00FE21F5" w:rsidRDefault="002B4523" w:rsidP="002B4523">
      <w:pPr>
        <w:spacing w:before="192" w:after="192" w:line="480" w:lineRule="auto"/>
      </w:pPr>
      <w:r w:rsidRPr="00FE21F5">
        <w:rPr>
          <w:b/>
        </w:rPr>
        <w:t>Figure S5</w:t>
      </w:r>
      <w:r w:rsidRPr="00FE21F5">
        <w:t>. TKN concentration (top row) comparison between flow-normalized concentration from WRTDS, flow-weighted mean concentrations, and time-weighted mean concentrations. Flux (bottom row) is calculated the traditional way (dark blue) or using WRTDS to flow-normalize (light blue). Pearson correlation coefficients match point color schemes.</w:t>
      </w:r>
      <w:r w:rsidRPr="00FE21F5">
        <w:br w:type="page"/>
      </w:r>
    </w:p>
    <w:p w14:paraId="544ADCD1" w14:textId="77777777" w:rsidR="002B4523" w:rsidRPr="00FE21F5" w:rsidRDefault="002B4523" w:rsidP="002B4523">
      <w:pPr>
        <w:spacing w:before="192" w:after="192" w:line="480" w:lineRule="auto"/>
      </w:pPr>
    </w:p>
    <w:p w14:paraId="57062BEB" w14:textId="77777777" w:rsidR="002B4523" w:rsidRPr="00FE21F5" w:rsidRDefault="002B4523" w:rsidP="002B4523">
      <w:pPr>
        <w:spacing w:before="192" w:after="192" w:line="480" w:lineRule="auto"/>
      </w:pPr>
      <w:r w:rsidRPr="00FE21F5">
        <w:rPr>
          <w:noProof/>
        </w:rPr>
        <w:drawing>
          <wp:inline distT="0" distB="0" distL="0" distR="0" wp14:anchorId="17DC4AB8" wp14:editId="792B283E">
            <wp:extent cx="5943600" cy="35687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Pfigure.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568700"/>
                    </a:xfrm>
                    <a:prstGeom prst="rect">
                      <a:avLst/>
                    </a:prstGeom>
                  </pic:spPr>
                </pic:pic>
              </a:graphicData>
            </a:graphic>
          </wp:inline>
        </w:drawing>
      </w:r>
    </w:p>
    <w:p w14:paraId="22CFC917" w14:textId="77777777" w:rsidR="002B4523" w:rsidRPr="00FE21F5" w:rsidRDefault="002B4523" w:rsidP="002B4523">
      <w:pPr>
        <w:spacing w:before="192" w:after="192" w:line="480" w:lineRule="auto"/>
      </w:pPr>
      <w:r w:rsidRPr="00FE21F5">
        <w:rPr>
          <w:b/>
        </w:rPr>
        <w:t xml:space="preserve">Figure </w:t>
      </w:r>
      <w:r>
        <w:rPr>
          <w:b/>
        </w:rPr>
        <w:t>S</w:t>
      </w:r>
      <w:r w:rsidRPr="00FE21F5">
        <w:rPr>
          <w:b/>
        </w:rPr>
        <w:t>1</w:t>
      </w:r>
      <w:r w:rsidRPr="00FE21F5">
        <w:t xml:space="preserve">. </w:t>
      </w:r>
      <w:r w:rsidRPr="00FE21F5">
        <w:br w:type="page"/>
      </w:r>
    </w:p>
    <w:p w14:paraId="18622E5B" w14:textId="77777777" w:rsidR="002B4523" w:rsidRPr="00FE21F5" w:rsidRDefault="002B4523" w:rsidP="002B4523">
      <w:pPr>
        <w:spacing w:before="192" w:after="192" w:line="480" w:lineRule="auto"/>
      </w:pPr>
    </w:p>
    <w:p w14:paraId="099918FA" w14:textId="77777777" w:rsidR="002B4523" w:rsidRPr="00FE21F5" w:rsidRDefault="002B4523" w:rsidP="002B4523">
      <w:pPr>
        <w:spacing w:before="192" w:after="192" w:line="480" w:lineRule="auto"/>
      </w:pPr>
      <w:r w:rsidRPr="00FE21F5">
        <w:rPr>
          <w:noProof/>
        </w:rPr>
        <w:drawing>
          <wp:inline distT="0" distB="0" distL="0" distR="0" wp14:anchorId="07B3C398" wp14:editId="16635572">
            <wp:extent cx="5943600" cy="3575685"/>
            <wp:effectExtent l="0" t="0" r="0" b="571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RPfigure.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575685"/>
                    </a:xfrm>
                    <a:prstGeom prst="rect">
                      <a:avLst/>
                    </a:prstGeom>
                  </pic:spPr>
                </pic:pic>
              </a:graphicData>
            </a:graphic>
          </wp:inline>
        </w:drawing>
      </w:r>
    </w:p>
    <w:p w14:paraId="515FDFF9" w14:textId="77777777" w:rsidR="002B4523" w:rsidRPr="00FE21F5" w:rsidRDefault="002B4523" w:rsidP="002B4523">
      <w:pPr>
        <w:spacing w:before="192" w:after="192" w:line="480" w:lineRule="auto"/>
      </w:pPr>
      <w:r w:rsidRPr="00FE21F5">
        <w:rPr>
          <w:b/>
        </w:rPr>
        <w:t xml:space="preserve">Figure </w:t>
      </w:r>
      <w:r>
        <w:rPr>
          <w:b/>
        </w:rPr>
        <w:t>S</w:t>
      </w:r>
      <w:r w:rsidRPr="00FE21F5">
        <w:rPr>
          <w:b/>
        </w:rPr>
        <w:t>2</w:t>
      </w:r>
      <w:r w:rsidRPr="00FE21F5">
        <w:t xml:space="preserve">. </w:t>
      </w:r>
      <w:r w:rsidRPr="00FE21F5">
        <w:br w:type="page"/>
      </w:r>
    </w:p>
    <w:p w14:paraId="6620334A" w14:textId="77777777" w:rsidR="002B4523" w:rsidRPr="00FE21F5" w:rsidRDefault="002B4523" w:rsidP="002B4523">
      <w:pPr>
        <w:spacing w:before="192" w:after="192" w:line="480" w:lineRule="auto"/>
      </w:pPr>
      <w:r w:rsidRPr="00FE21F5">
        <w:rPr>
          <w:noProof/>
        </w:rPr>
        <w:lastRenderedPageBreak/>
        <w:drawing>
          <wp:inline distT="0" distB="0" distL="0" distR="0" wp14:anchorId="7BD1A4DE" wp14:editId="34AECA2A">
            <wp:extent cx="5943600" cy="3583305"/>
            <wp:effectExtent l="0" t="0" r="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Nfigure.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583305"/>
                    </a:xfrm>
                    <a:prstGeom prst="rect">
                      <a:avLst/>
                    </a:prstGeom>
                  </pic:spPr>
                </pic:pic>
              </a:graphicData>
            </a:graphic>
          </wp:inline>
        </w:drawing>
      </w:r>
    </w:p>
    <w:p w14:paraId="7C5C83EF" w14:textId="77777777" w:rsidR="002B4523" w:rsidRPr="00FE21F5" w:rsidRDefault="002B4523" w:rsidP="002B4523">
      <w:pPr>
        <w:spacing w:before="192" w:after="192" w:line="480" w:lineRule="auto"/>
      </w:pPr>
      <w:r w:rsidRPr="00FE21F5">
        <w:rPr>
          <w:b/>
        </w:rPr>
        <w:t xml:space="preserve">Figure </w:t>
      </w:r>
      <w:r>
        <w:rPr>
          <w:b/>
        </w:rPr>
        <w:t>S</w:t>
      </w:r>
      <w:r w:rsidRPr="00FE21F5">
        <w:rPr>
          <w:b/>
        </w:rPr>
        <w:t>3</w:t>
      </w:r>
      <w:r w:rsidRPr="00FE21F5">
        <w:t>.</w:t>
      </w:r>
      <w:r w:rsidRPr="00FE21F5">
        <w:br w:type="page"/>
      </w:r>
    </w:p>
    <w:p w14:paraId="043E50CE" w14:textId="77777777" w:rsidR="002B4523" w:rsidRPr="00FE21F5" w:rsidRDefault="002B4523" w:rsidP="002B4523">
      <w:pPr>
        <w:spacing w:before="192" w:after="192" w:line="480" w:lineRule="auto"/>
      </w:pPr>
      <w:r w:rsidRPr="00FE21F5">
        <w:rPr>
          <w:noProof/>
        </w:rPr>
        <w:lastRenderedPageBreak/>
        <w:drawing>
          <wp:inline distT="0" distB="0" distL="0" distR="0" wp14:anchorId="308E8E4B" wp14:editId="67F58F56">
            <wp:extent cx="5943600" cy="3578225"/>
            <wp:effectExtent l="0" t="0" r="0" b="317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O3figure.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578225"/>
                    </a:xfrm>
                    <a:prstGeom prst="rect">
                      <a:avLst/>
                    </a:prstGeom>
                  </pic:spPr>
                </pic:pic>
              </a:graphicData>
            </a:graphic>
          </wp:inline>
        </w:drawing>
      </w:r>
    </w:p>
    <w:p w14:paraId="65AE8E61" w14:textId="77777777" w:rsidR="002B4523" w:rsidRPr="00FE21F5" w:rsidRDefault="002B4523" w:rsidP="002B4523">
      <w:pPr>
        <w:spacing w:before="192" w:after="192" w:line="480" w:lineRule="auto"/>
      </w:pPr>
      <w:r w:rsidRPr="00FE21F5">
        <w:rPr>
          <w:b/>
        </w:rPr>
        <w:t xml:space="preserve">Figure </w:t>
      </w:r>
      <w:r>
        <w:rPr>
          <w:b/>
        </w:rPr>
        <w:t>S</w:t>
      </w:r>
      <w:r w:rsidRPr="00FE21F5">
        <w:rPr>
          <w:b/>
        </w:rPr>
        <w:t>4</w:t>
      </w:r>
      <w:r w:rsidRPr="00FE21F5">
        <w:t>.</w:t>
      </w:r>
      <w:r w:rsidRPr="00FE21F5">
        <w:br w:type="page"/>
      </w:r>
    </w:p>
    <w:p w14:paraId="74990B22" w14:textId="77777777" w:rsidR="002B4523" w:rsidRPr="00FE21F5" w:rsidRDefault="002B4523" w:rsidP="002B4523">
      <w:pPr>
        <w:spacing w:before="192" w:after="192" w:line="480" w:lineRule="auto"/>
      </w:pPr>
      <w:r w:rsidRPr="00FE21F5">
        <w:rPr>
          <w:noProof/>
        </w:rPr>
        <w:lastRenderedPageBreak/>
        <w:drawing>
          <wp:inline distT="0" distB="0" distL="0" distR="0" wp14:anchorId="5288CA01" wp14:editId="64BA7A8D">
            <wp:extent cx="5943600" cy="3578225"/>
            <wp:effectExtent l="0" t="0" r="0" b="3175"/>
            <wp:docPr id="5" name="Picture 5"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KNfigur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78225"/>
                    </a:xfrm>
                    <a:prstGeom prst="rect">
                      <a:avLst/>
                    </a:prstGeom>
                  </pic:spPr>
                </pic:pic>
              </a:graphicData>
            </a:graphic>
          </wp:inline>
        </w:drawing>
      </w:r>
    </w:p>
    <w:p w14:paraId="2E4D06C5" w14:textId="77777777" w:rsidR="00554FC4" w:rsidRDefault="002B4523" w:rsidP="002B4523">
      <w:r w:rsidRPr="00FE21F5">
        <w:rPr>
          <w:b/>
        </w:rPr>
        <w:t xml:space="preserve">Figure </w:t>
      </w:r>
      <w:r>
        <w:rPr>
          <w:b/>
        </w:rPr>
        <w:t>S</w:t>
      </w:r>
      <w:r w:rsidRPr="00FE21F5">
        <w:rPr>
          <w:b/>
        </w:rPr>
        <w:t>5</w:t>
      </w:r>
      <w:r w:rsidRPr="00FE21F5">
        <w:t>.</w:t>
      </w:r>
    </w:p>
    <w:sectPr w:rsidR="00554FC4" w:rsidSect="002810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523"/>
    <w:rsid w:val="00003D78"/>
    <w:rsid w:val="00016506"/>
    <w:rsid w:val="0006311A"/>
    <w:rsid w:val="00075723"/>
    <w:rsid w:val="000A3285"/>
    <w:rsid w:val="000B034E"/>
    <w:rsid w:val="000C7757"/>
    <w:rsid w:val="000D1841"/>
    <w:rsid w:val="000D2431"/>
    <w:rsid w:val="000F489D"/>
    <w:rsid w:val="001122C1"/>
    <w:rsid w:val="00126EEA"/>
    <w:rsid w:val="001379D7"/>
    <w:rsid w:val="001744D3"/>
    <w:rsid w:val="001D4181"/>
    <w:rsid w:val="001E08AD"/>
    <w:rsid w:val="001F263B"/>
    <w:rsid w:val="0020519C"/>
    <w:rsid w:val="0021154F"/>
    <w:rsid w:val="00240DEA"/>
    <w:rsid w:val="00265F1A"/>
    <w:rsid w:val="00276EFD"/>
    <w:rsid w:val="00281053"/>
    <w:rsid w:val="0029583B"/>
    <w:rsid w:val="002B1B40"/>
    <w:rsid w:val="002B4523"/>
    <w:rsid w:val="002B4FBD"/>
    <w:rsid w:val="002B66ED"/>
    <w:rsid w:val="002C47F2"/>
    <w:rsid w:val="002D29AC"/>
    <w:rsid w:val="002E7DEB"/>
    <w:rsid w:val="00387CA9"/>
    <w:rsid w:val="003A103E"/>
    <w:rsid w:val="003A13D1"/>
    <w:rsid w:val="003B778B"/>
    <w:rsid w:val="003C5958"/>
    <w:rsid w:val="003D054F"/>
    <w:rsid w:val="004131FB"/>
    <w:rsid w:val="00441662"/>
    <w:rsid w:val="00485A49"/>
    <w:rsid w:val="004A0E8A"/>
    <w:rsid w:val="004A7677"/>
    <w:rsid w:val="004B2771"/>
    <w:rsid w:val="004E4947"/>
    <w:rsid w:val="00512E9A"/>
    <w:rsid w:val="005266F0"/>
    <w:rsid w:val="00564358"/>
    <w:rsid w:val="005C0E58"/>
    <w:rsid w:val="005D6E38"/>
    <w:rsid w:val="005E1411"/>
    <w:rsid w:val="00665F75"/>
    <w:rsid w:val="00674CDB"/>
    <w:rsid w:val="006934D1"/>
    <w:rsid w:val="006A287C"/>
    <w:rsid w:val="006C5923"/>
    <w:rsid w:val="0075707B"/>
    <w:rsid w:val="0077348F"/>
    <w:rsid w:val="00795B6E"/>
    <w:rsid w:val="007961EB"/>
    <w:rsid w:val="007E4F8A"/>
    <w:rsid w:val="007F6052"/>
    <w:rsid w:val="00803F05"/>
    <w:rsid w:val="0082610D"/>
    <w:rsid w:val="008500ED"/>
    <w:rsid w:val="008765D3"/>
    <w:rsid w:val="00876C76"/>
    <w:rsid w:val="0089231B"/>
    <w:rsid w:val="008A26BE"/>
    <w:rsid w:val="008A3086"/>
    <w:rsid w:val="008C2E12"/>
    <w:rsid w:val="008F2A53"/>
    <w:rsid w:val="00901E19"/>
    <w:rsid w:val="009307AD"/>
    <w:rsid w:val="009D5E05"/>
    <w:rsid w:val="009D750A"/>
    <w:rsid w:val="009E611E"/>
    <w:rsid w:val="009E72F4"/>
    <w:rsid w:val="00A04C85"/>
    <w:rsid w:val="00A46E41"/>
    <w:rsid w:val="00A5384A"/>
    <w:rsid w:val="00A80036"/>
    <w:rsid w:val="00A8193D"/>
    <w:rsid w:val="00AD6560"/>
    <w:rsid w:val="00AE110C"/>
    <w:rsid w:val="00B525CD"/>
    <w:rsid w:val="00B71E02"/>
    <w:rsid w:val="00B74478"/>
    <w:rsid w:val="00B940E8"/>
    <w:rsid w:val="00B95B10"/>
    <w:rsid w:val="00BA7F8F"/>
    <w:rsid w:val="00BC2B8D"/>
    <w:rsid w:val="00BC5C6A"/>
    <w:rsid w:val="00BD1D66"/>
    <w:rsid w:val="00BE4073"/>
    <w:rsid w:val="00C536D3"/>
    <w:rsid w:val="00C568DE"/>
    <w:rsid w:val="00CC1FF8"/>
    <w:rsid w:val="00CD5E0C"/>
    <w:rsid w:val="00CE6C14"/>
    <w:rsid w:val="00D12771"/>
    <w:rsid w:val="00DA05C4"/>
    <w:rsid w:val="00DB4FB8"/>
    <w:rsid w:val="00DC76C5"/>
    <w:rsid w:val="00E11AAC"/>
    <w:rsid w:val="00E77B63"/>
    <w:rsid w:val="00EC12E7"/>
    <w:rsid w:val="00EF3793"/>
    <w:rsid w:val="00F21CA7"/>
    <w:rsid w:val="00F54324"/>
    <w:rsid w:val="00F755B6"/>
    <w:rsid w:val="00F833E2"/>
    <w:rsid w:val="00FB6348"/>
    <w:rsid w:val="00FC57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EDC7A2B"/>
  <w15:chartTrackingRefBased/>
  <w15:docId w15:val="{BCF6F251-9EF9-8D43-BA57-4857D4B40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2B4523"/>
    <w:pPr>
      <w:spacing w:after="160" w:line="259" w:lineRule="auto"/>
    </w:pPr>
    <w:rPr>
      <w:rFonts w:eastAsia="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2B4523"/>
    <w:pPr>
      <w:tabs>
        <w:tab w:val="left" w:pos="500"/>
      </w:tabs>
      <w:spacing w:after="0" w:line="240" w:lineRule="auto"/>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1247</Words>
  <Characters>7109</Characters>
  <Application>Microsoft Office Word</Application>
  <DocSecurity>0</DocSecurity>
  <Lines>59</Lines>
  <Paragraphs>16</Paragraphs>
  <ScaleCrop>false</ScaleCrop>
  <Company/>
  <LinksUpToDate>false</LinksUpToDate>
  <CharactersWithSpaces>8340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Rowland, Freya</dc:creator>
  <cp:keywords/>
  <dc:description/>
  <cp:lastModifiedBy>Rowland, Freya</cp:lastModifiedBy>
  <cp:revision>1</cp:revision>
  <dcterms:created xsi:type="dcterms:W3CDTF">2020-06-15T03:21:00Z</dcterms:created>
  <dcterms:modified xsi:type="dcterms:W3CDTF">2020-06-15T03:22:00Z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id="Rol8Okn5"/&gt;&lt;style id="http://www.zotero.org/styles/environmental-science-and-technology" hasBibliography="1" bibliographyStyleHasBeenSet="1"/&gt;&lt;prefs&gt;&lt;pref name="fieldType" value="Field"/&gt;&lt;/prefs&gt;</vt:lpwstr>
  </property>
  <property fmtid="{D5CDD505-2E9C-101B-9397-08002B2CF9AE}" pid="3" name="ZOTERO_PREF_2">
    <vt:lpwstr>&lt;/data&gt;</vt:lpwstr>
  </property>
</Properties>
</file>