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Brock Kamrath</w:t>
      </w:r>
      <w:r w:rsidRPr="00C720DA">
        <w:rPr>
          <w:rFonts w:cs="Times New Roman"/>
          <w:sz w:val="20"/>
          <w:szCs w:val="20"/>
          <w:vertAlign w:val="superscript"/>
        </w:rPr>
        <w:t>a</w:t>
      </w:r>
      <w:r w:rsidRPr="00C720DA">
        <w:rPr>
          <w:rFonts w:cs="Times New Roman"/>
          <w:sz w:val="20"/>
          <w:szCs w:val="20"/>
        </w:rPr>
        <w:t xml:space="preserve"> and Yongping Yuan</w:t>
      </w:r>
      <w:r w:rsidRPr="00C720DA">
        <w:rPr>
          <w:rFonts w:cs="Times New Roman"/>
          <w:sz w:val="20"/>
          <w:szCs w:val="20"/>
          <w:vertAlign w:val="superscript"/>
        </w:rPr>
        <w:t>b,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a</w:t>
      </w:r>
      <w:r w:rsidRPr="00C720DA">
        <w:rPr>
          <w:rFonts w:cs="Times New Roman"/>
          <w:sz w:val="20"/>
          <w:szCs w:val="20"/>
        </w:rPr>
        <w:t>Oak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b</w:t>
      </w:r>
      <w:r w:rsidRPr="00C720DA">
        <w:rPr>
          <w:rFonts w:cs="Times New Roman"/>
          <w:sz w:val="20"/>
          <w:szCs w:val="20"/>
        </w:rPr>
        <w:t>US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6B35B077" w14:textId="01EF3231" w:rsidR="006028A4" w:rsidRDefault="001C2248" w:rsidP="001C2248">
      <w:r>
        <w:t>Research Objective:</w:t>
      </w:r>
    </w:p>
    <w:p w14:paraId="59C91F7A" w14:textId="5975CD6E" w:rsidR="001C2248" w:rsidRDefault="001C2248" w:rsidP="001C2248">
      <w:pPr>
        <w:pStyle w:val="ListParagraph"/>
        <w:numPr>
          <w:ilvl w:val="0"/>
          <w:numId w:val="2"/>
        </w:numPr>
      </w:pPr>
      <w:r>
        <w:t>Have the recent regulations and TMDL reduce P losses in the Western Lake Erie Basin</w:t>
      </w:r>
    </w:p>
    <w:p w14:paraId="409407EA" w14:textId="56E3D307" w:rsidR="001C2248" w:rsidRDefault="001C2248" w:rsidP="001C2248">
      <w:pPr>
        <w:pStyle w:val="ListParagraph"/>
        <w:numPr>
          <w:ilvl w:val="0"/>
          <w:numId w:val="2"/>
        </w:numPr>
      </w:pPr>
      <w:r>
        <w:t>We analyzed Blanchard, Tiffin</w:t>
      </w:r>
      <w:r w:rsidR="005870B8">
        <w:t>, and Honey</w:t>
      </w:r>
      <w:r>
        <w:t xml:space="preserve"> within the basin</w:t>
      </w:r>
      <w:r w:rsidR="006C5769">
        <w:t xml:space="preserve">, which are </w:t>
      </w:r>
      <w:r>
        <w:t xml:space="preserve">subject to </w:t>
      </w:r>
      <w:r w:rsidR="00001EA6">
        <w:t>Ohio</w:t>
      </w:r>
      <w:r>
        <w:t xml:space="preserve"> </w:t>
      </w:r>
      <w:r w:rsidR="002E206E">
        <w:t>laws.</w:t>
      </w:r>
    </w:p>
    <w:p w14:paraId="5A65FC7F" w14:textId="39BE5D53" w:rsidR="001C2248" w:rsidRDefault="001C2248" w:rsidP="001C2248">
      <w:pPr>
        <w:pStyle w:val="ListParagraph"/>
        <w:numPr>
          <w:ilvl w:val="1"/>
          <w:numId w:val="2"/>
        </w:numPr>
      </w:pPr>
      <w:r>
        <w:t xml:space="preserve">As references we used </w:t>
      </w:r>
      <w:r w:rsidR="00102BE0">
        <w:t>R</w:t>
      </w:r>
      <w:r>
        <w:t>aisin (a watershed in the basin but located in Michigan</w:t>
      </w:r>
      <w:r w:rsidR="00AE17A6">
        <w:t>)</w:t>
      </w:r>
    </w:p>
    <w:p w14:paraId="5D6085AF" w14:textId="1B9DA0BD" w:rsidR="00D4064D" w:rsidRDefault="00D4064D" w:rsidP="00BB60DF">
      <w:pPr>
        <w:pStyle w:val="Heading1"/>
      </w:pPr>
      <w:r>
        <w:t>Introduction</w:t>
      </w:r>
    </w:p>
    <w:p w14:paraId="24EAF075" w14:textId="59F2F820"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xml:space="preserve">. This re-eutrophication has been driven by increasing nonpoint source soluble reactive phosphorus (SRP) loads from major tributaries in the Western Lake Erie Basin (WLEB)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xml:space="preserve">. In </w:t>
      </w:r>
      <w:r w:rsidR="00761392">
        <w:rPr>
          <w:rFonts w:cs="Times New Roman"/>
          <w:szCs w:val="24"/>
        </w:rPr>
        <w:t>concurrence</w:t>
      </w:r>
      <w:r>
        <w:rPr>
          <w:rFonts w:cs="Times New Roman"/>
          <w:szCs w:val="24"/>
        </w:rPr>
        <w:t xml:space="preserve"> with this re-</w:t>
      </w:r>
      <w:r>
        <w:rPr>
          <w:rFonts w:cs="Times New Roman"/>
          <w:szCs w:val="24"/>
        </w:rPr>
        <w:lastRenderedPageBreak/>
        <w:t xml:space="preserv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containing</w:t>
      </w:r>
      <w:r w:rsidRPr="00B24ED5">
        <w:rPr>
          <w:rFonts w:cs="Times New Roman"/>
          <w:szCs w:val="24"/>
        </w:rPr>
        <w:t xml:space="preserve"> HNAB in August of 2014 that led to 400,000 Ohio residents unable to drink or use their tap water (Smith et al., 2015).</w:t>
      </w:r>
    </w:p>
    <w:p w14:paraId="294C0229" w14:textId="4ACD09E9" w:rsidR="00B249A0" w:rsidRPr="00606592" w:rsidRDefault="00173DE2" w:rsidP="00606592">
      <w:pPr>
        <w:ind w:firstLine="432"/>
        <w:rPr>
          <w:rFonts w:cs="Times New Roman"/>
          <w:szCs w:val="24"/>
        </w:rPr>
      </w:pPr>
      <w:r>
        <w:t xml:space="preserve">To </w:t>
      </w:r>
      <w:r w:rsidR="00606592">
        <w:t>improve</w:t>
      </w:r>
      <w:r w:rsidR="00C5674C">
        <w:t xml:space="preserve"> the water quality of</w:t>
      </w:r>
      <w:r w:rsidR="004B6DEC">
        <w:t xml:space="preserve"> Lake Erie, policymakers and scientists have recommended a reduction in phosphorus loading to the WLEB.</w:t>
      </w:r>
      <w:r w:rsidR="00EB57B6">
        <w:t xml:space="preserve"> </w:t>
      </w:r>
      <w:r w:rsidR="00916B60">
        <w:t>Specifically,</w:t>
      </w:r>
      <w:r w:rsidR="00EB57B6">
        <w:t xml:space="preserve"> the United States and Canada revised the Great Lakes Water Quality Agreement (GLWQA) and</w:t>
      </w:r>
      <w:r w:rsidR="00B249A0">
        <w:t xml:space="preserve"> adopted target</w:t>
      </w:r>
      <w:r w:rsidR="00EB57B6">
        <w:t>s</w:t>
      </w:r>
      <w:r w:rsidR="00B249A0">
        <w:t xml:space="preserve"> to</w:t>
      </w:r>
      <w:r w:rsidR="00B0389C">
        <w:t xml:space="preserve"> </w:t>
      </w:r>
      <w:r w:rsidR="00B249A0">
        <w:t xml:space="preserve">reduce </w:t>
      </w:r>
      <w:r w:rsidR="00F103F7">
        <w:t>P</w:t>
      </w:r>
      <w:r w:rsidR="003A0EE8">
        <w:t xml:space="preserve"> load</w:t>
      </w:r>
      <w:r w:rsidR="00EB57B6">
        <w:t>ing</w:t>
      </w:r>
      <w:r w:rsidR="00F103F7">
        <w:t xml:space="preserve"> to Lake Erie</w:t>
      </w:r>
      <w:r w:rsidR="00EB57B6">
        <w:t xml:space="preserve">. </w:t>
      </w:r>
      <w:r w:rsidR="00916B60">
        <w:t>In this agreement,</w:t>
      </w:r>
      <w:r w:rsidR="0055297E">
        <w:t xml:space="preserve"> a target of a</w:t>
      </w:r>
      <w:r w:rsidR="00B249A0">
        <w:t xml:space="preserve"> 40%</w:t>
      </w:r>
      <w:r w:rsidR="00F103F7">
        <w:t xml:space="preserve"> </w:t>
      </w:r>
      <w:r w:rsidR="0055297E">
        <w:t xml:space="preserve">reduction in both SRP and TP loads </w:t>
      </w:r>
      <w:r w:rsidR="00F103F7">
        <w:t xml:space="preserve">relative to the 2008 baseline load </w:t>
      </w:r>
      <w:r w:rsidR="0055297E">
        <w:t>was set to</w:t>
      </w:r>
      <w:r w:rsidR="00F103F7">
        <w:t xml:space="preserve">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4B6DEC">
        <w:t xml:space="preserve"> </w:t>
      </w:r>
      <w:r w:rsidR="0055297E">
        <w:t xml:space="preserve">Additionally, the </w:t>
      </w:r>
      <w:r w:rsidR="0055297E" w:rsidRPr="00013A95">
        <w:rPr>
          <w:highlight w:val="yellow"/>
        </w:rPr>
        <w:t>spring period was identified</w:t>
      </w:r>
      <w:r w:rsidR="00D554C6">
        <w:t>…</w:t>
      </w:r>
    </w:p>
    <w:p w14:paraId="2D79F3E0" w14:textId="1D5180F2"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 agricultural conservation practices (ACPs)</w:t>
      </w:r>
      <w:r w:rsidR="004234A8">
        <w:t xml:space="preserve"> to reduce nutrient loss</w:t>
      </w:r>
      <w:r w:rsidR="006C5769">
        <w:t xml:space="preserve"> from agricultural fields</w:t>
      </w:r>
      <w:r w:rsidR="004234A8">
        <w:t xml:space="preserve">. </w:t>
      </w:r>
      <w:r>
        <w:t>For example, t</w:t>
      </w:r>
      <w:r w:rsidR="00305DBA">
        <w:t xml:space="preserve">he Ohio EPA updated the nonpoint source managment plan in 2014 (cite plan). </w:t>
      </w:r>
      <w:r w:rsidR="004234A8">
        <w:t xml:space="preserve">Along with </w:t>
      </w:r>
      <w:r>
        <w:t>the updated management plan</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https://codes.ohio.gov/ohio-revised-code/section-905.326</w:t>
        </w:r>
      </w:hyperlink>
      <w:r w:rsidR="003B11E5">
        <w:t>).</w:t>
      </w:r>
      <w:r>
        <w:t xml:space="preserve"> This legislation included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 xml:space="preserve">July 2015. </w:t>
      </w:r>
      <w:r w:rsidR="00413D2A">
        <w:t xml:space="preserve">Violations of these regulations can result in corrective action orders and civil penalties up to $10,000. </w:t>
      </w:r>
      <w:r w:rsidR="005968C7">
        <w:t>T</w:t>
      </w:r>
      <w:r>
        <w:t>o the authors knowledge, this</w:t>
      </w:r>
      <w:r w:rsidR="00EF075A">
        <w:t xml:space="preserve"> is the first nutrient management regulation in the </w:t>
      </w:r>
      <w:r w:rsidR="00EF075A">
        <w:lastRenderedPageBreak/>
        <w:t>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055996C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 </w:instrTex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EN.CITE.DATA </w:instrText>
      </w:r>
      <w:r w:rsidR="00755DF7">
        <w:fldChar w:fldCharType="end"/>
      </w:r>
      <w:r w:rsidR="00755DF7">
        <w:fldChar w:fldCharType="separate"/>
      </w:r>
      <w:r w:rsidR="00755DF7">
        <w:rPr>
          <w:noProof/>
        </w:rPr>
        <w:t>(Liu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 xml:space="preserve">. </w:t>
      </w:r>
      <w:r w:rsidR="00D961E6">
        <w:t xml:space="preserve">From these studies, </w:t>
      </w:r>
      <w:r w:rsidR="00B34F7A">
        <w:t>we hypothesized that the nutrient management rules will reduce P losses from agricultural watersheds in the WLEB, especially during the winter season.</w:t>
      </w:r>
    </w:p>
    <w:p w14:paraId="042E727A" w14:textId="0D67872B" w:rsidR="006E2C1C" w:rsidRDefault="00117C88" w:rsidP="00706694">
      <w:pPr>
        <w:ind w:firstLine="432"/>
      </w:pPr>
      <w:r>
        <w:t>H</w:t>
      </w:r>
      <w:r w:rsidR="00305DBA">
        <w:t xml:space="preserve">ere we </w:t>
      </w:r>
      <w:r w:rsidR="00B34F7A">
        <w:t>focused the Maumee River watersheds</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rsidR="00305DBA">
        <w:t xml:space="preserve">. To quantify </w:t>
      </w:r>
      <w:r w:rsidR="00706694">
        <w:t>SR</w:t>
      </w:r>
      <w:r w:rsidR="00305DBA">
        <w:t>P</w:t>
      </w:r>
      <w:r w:rsidR="00706694">
        <w:t xml:space="preserve"> and total phosphorus (TP)</w:t>
      </w:r>
      <w:r w:rsidR="00305DBA">
        <w:t xml:space="preserve"> trends, we used the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 </w:instrText>
      </w:r>
      <w:r w:rsidR="007F21B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EN.CITE.DATA </w:instrText>
      </w:r>
      <w:r w:rsidR="007F21B4">
        <w:fldChar w:fldCharType="end"/>
      </w:r>
      <w:r w:rsidR="00706694">
        <w:fldChar w:fldCharType="separate"/>
      </w:r>
      <w:r w:rsidR="007F21B4">
        <w:rPr>
          <w:noProof/>
        </w:rPr>
        <w:t>(Choquette, Hirsch, Murphy, Johnson, &amp; Confesor, 2019; R. M.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his study can be portioned into 3 distinct objectives</w:t>
      </w:r>
      <w:r w:rsidR="00851439">
        <w:t xml:space="preserve"> to elucidate the response to nutrient management rules and regulations</w:t>
      </w:r>
      <w:r w:rsidR="006E2C1C">
        <w:t>: 1) investigate</w:t>
      </w:r>
      <w:r w:rsidR="00851439">
        <w:t xml:space="preserve"> concentration</w:t>
      </w:r>
      <w:r w:rsidR="006E2C1C">
        <w:t xml:space="preserve"> changes </w:t>
      </w:r>
      <w:r w:rsidR="00851439">
        <w:t>during frozen soil periods</w:t>
      </w:r>
      <w:r w:rsidR="006E2C1C">
        <w:t xml:space="preserve">, </w:t>
      </w:r>
      <w:r w:rsidR="00CC5682">
        <w:t>2</w:t>
      </w:r>
      <w:r w:rsidR="006E2C1C">
        <w:t>)</w:t>
      </w:r>
      <w:r w:rsidR="00851439">
        <w:t xml:space="preserve"> assess </w:t>
      </w:r>
      <w:r w:rsidR="00851439">
        <w:lastRenderedPageBreak/>
        <w:t>the annual P trends across the basin since 2008, and 3) compare recent P trends (2015 to 2022) to previous P trends (2008-2015).</w:t>
      </w:r>
    </w:p>
    <w:p w14:paraId="57B938DD" w14:textId="2054B497" w:rsidR="00013A95" w:rsidRPr="006E2C1C" w:rsidRDefault="00D554C6" w:rsidP="00706694">
      <w:pPr>
        <w:ind w:firstLine="432"/>
      </w:pPr>
      <w:r>
        <w:t>[</w:t>
      </w:r>
      <w:r w:rsidR="00013A95">
        <w:t>Because of the variety of practices that may coincide with the regulations or are encompassed within the regulations, we do not attempt to parse out the efficacy of individual practices.</w:t>
      </w:r>
      <w:r>
        <w:t>] – this needs to be noted in the introduction</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6F3088DF" w:rsidR="00001EA6" w:rsidRDefault="00020458" w:rsidP="00020458">
      <w:pPr>
        <w:ind w:firstLine="720"/>
      </w:pPr>
      <w:r>
        <w:t>SRP</w:t>
      </w:r>
      <w:r w:rsidR="00796ECD">
        <w:t>,</w:t>
      </w:r>
      <w:r>
        <w:t xml:space="preserve"> TP</w:t>
      </w:r>
      <w:r w:rsidR="00796ECD">
        <w:t>, and TSS</w:t>
      </w:r>
      <w:r>
        <w:t xml:space="preserve"> trends </w:t>
      </w:r>
      <w:r w:rsidR="00311AFB">
        <w:t xml:space="preserve">were evaluated </w:t>
      </w:r>
      <w:r>
        <w:t xml:space="preserve">in </w:t>
      </w:r>
      <w:r w:rsidR="00796ECD">
        <w:t>4</w:t>
      </w:r>
      <w:r>
        <w:t xml:space="preserve"> watersheds</w:t>
      </w:r>
      <w:r w:rsidR="00E83322">
        <w:t xml:space="preserve"> within the WLEB</w:t>
      </w:r>
      <w:r>
        <w:t xml:space="preserve"> from 200</w:t>
      </w:r>
      <w:r w:rsidR="001806AD">
        <w:t>8</w:t>
      </w:r>
      <w:r>
        <w:t xml:space="preserve"> to 202</w:t>
      </w:r>
      <w:r w:rsidR="001806AD">
        <w:t>2</w:t>
      </w:r>
      <w:r>
        <w:t xml:space="preserve"> (Table 1).</w:t>
      </w:r>
      <w:r w:rsidR="006C27DE">
        <w:t xml:space="preserve"> </w:t>
      </w:r>
      <w:r w:rsidR="0071425D">
        <w:t>T</w:t>
      </w:r>
      <w:r w:rsidR="00796ECD">
        <w:t xml:space="preserve">he sites included the Maumee River basin, two subbasins within the Maumee River basin (Tiffin and Blanchard), and the River Raisin basin. The River Raisin basin, while located within the WLEB, is located in the state of Michigan and not subject to the </w:t>
      </w:r>
      <w:r w:rsidR="00311AFB">
        <w:t xml:space="preserve">State of Ohio’s </w:t>
      </w:r>
      <w:r w:rsidR="00796ECD">
        <w:t>nutrient management regulation</w:t>
      </w:r>
      <w:r w:rsidR="00311AFB">
        <w:t>s. T</w:t>
      </w:r>
      <w:r w:rsidR="00796ECD">
        <w:t xml:space="preserve">herefore, </w:t>
      </w:r>
      <w:r w:rsidR="00311AFB">
        <w:t xml:space="preserve">the River Raisin acted </w:t>
      </w:r>
      <w:r w:rsidR="00796ECD">
        <w:t xml:space="preserve">as a general reference watershed in this study. </w:t>
      </w:r>
      <w:r w:rsidR="00311AFB">
        <w:t>Overall, t</w:t>
      </w:r>
      <w:r w:rsidR="00D4064D">
        <w:t>hese</w:t>
      </w:r>
      <w:r w:rsidR="00311AFB">
        <w:t xml:space="preserve"> four</w:t>
      </w:r>
      <w:r w:rsidR="00D4064D">
        <w:t xml:space="preserve"> watersheds ranged </w:t>
      </w:r>
      <w:r w:rsidR="00D4064D" w:rsidRPr="00E83322">
        <w:t>from</w:t>
      </w:r>
      <w:r w:rsidR="00E83322" w:rsidRPr="00E83322">
        <w:t xml:space="preserve"> </w:t>
      </w:r>
      <w:r w:rsidR="00796ECD">
        <w:t>896</w:t>
      </w:r>
      <w:r w:rsidR="00E83322" w:rsidRPr="00E83322">
        <w:t xml:space="preserve"> to 16388 km</w:t>
      </w:r>
      <w:r w:rsidR="00E83322" w:rsidRPr="00E83322">
        <w:rPr>
          <w:vertAlign w:val="superscript"/>
        </w:rPr>
        <w:t>2</w:t>
      </w:r>
      <w:r w:rsidR="00311AFB">
        <w:t xml:space="preserve">. </w:t>
      </w:r>
      <w:r w:rsidR="00522578">
        <w:t xml:space="preserve">The Blanchard and Tiffin watersheds account for approximately 5 and 6% of the entire Maumee River watershed, respectively.  </w:t>
      </w:r>
      <w:r w:rsidR="00311AFB">
        <w:t>All four watersheds</w:t>
      </w:r>
      <w:r w:rsidR="00D4064D">
        <w:t xml:space="preserve"> were predominately agricultural</w:t>
      </w:r>
      <w:r w:rsidR="005D401C">
        <w:t xml:space="preserve">; therefore, </w:t>
      </w:r>
      <w:r w:rsidR="00D4064D">
        <w:t>n</w:t>
      </w:r>
      <w:r w:rsidR="00001EA6" w:rsidRPr="003C6EFE">
        <w:t xml:space="preserve">utrient application </w:t>
      </w:r>
      <w:r w:rsidR="00311AFB">
        <w:t>was</w:t>
      </w:r>
      <w:r w:rsidR="00001EA6" w:rsidRPr="003C6EFE">
        <w:t xml:space="preserve"> likely the core contributor of P</w:t>
      </w:r>
      <w:r w:rsidR="005D401C">
        <w:t xml:space="preserve"> in each watershed</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6DFE9654" w14:textId="77777777" w:rsidR="001A5D88" w:rsidRDefault="001A5D88" w:rsidP="001A5D88">
      <w:pPr>
        <w:pStyle w:val="Caption"/>
      </w:pPr>
      <w:r>
        <w:t>Table 1: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1A5D88" w:rsidRPr="00E83322" w14:paraId="16BE24DC" w14:textId="77777777" w:rsidTr="004F10B1">
        <w:trPr>
          <w:trHeight w:val="323"/>
        </w:trPr>
        <w:tc>
          <w:tcPr>
            <w:tcW w:w="1350" w:type="dxa"/>
            <w:vMerge w:val="restart"/>
            <w:vAlign w:val="center"/>
          </w:tcPr>
          <w:p w14:paraId="5ADA19BD" w14:textId="77777777" w:rsidR="001A5D88" w:rsidRPr="00E83322" w:rsidRDefault="001A5D88" w:rsidP="004F10B1">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7C1A3FFF" w14:textId="77777777" w:rsidR="001A5D88" w:rsidRPr="00E83322" w:rsidRDefault="001A5D88" w:rsidP="004F10B1">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16161FC3" w14:textId="77777777" w:rsidR="001A5D88" w:rsidRPr="00E83322" w:rsidRDefault="001A5D88" w:rsidP="004F10B1">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9CD34B5" w14:textId="77777777" w:rsidR="001A5D88" w:rsidRPr="00E83322" w:rsidRDefault="001A5D88" w:rsidP="004F10B1">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006BFECA" w14:textId="77777777" w:rsidR="001A5D88" w:rsidRPr="00E83322" w:rsidRDefault="001A5D88" w:rsidP="004F10B1">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4A1A4899" w14:textId="77777777" w:rsidR="001A5D88" w:rsidRPr="00E83322" w:rsidRDefault="001A5D88" w:rsidP="004F10B1">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6D5FFEC8" w14:textId="77777777" w:rsidR="001A5D88" w:rsidRPr="00E83322" w:rsidRDefault="001A5D88" w:rsidP="004F10B1">
            <w:pPr>
              <w:spacing w:line="240" w:lineRule="auto"/>
              <w:jc w:val="center"/>
              <w:rPr>
                <w:rFonts w:cs="Times New Roman"/>
                <w:sz w:val="22"/>
              </w:rPr>
            </w:pPr>
            <w:r w:rsidRPr="00E83322">
              <w:rPr>
                <w:rFonts w:cs="Times New Roman"/>
                <w:sz w:val="22"/>
              </w:rPr>
              <w:t>Subject to NM rules</w:t>
            </w:r>
          </w:p>
        </w:tc>
      </w:tr>
      <w:tr w:rsidR="001A5D88" w:rsidRPr="00E83322" w14:paraId="77DB7D21" w14:textId="77777777" w:rsidTr="004F10B1">
        <w:trPr>
          <w:trHeight w:val="171"/>
        </w:trPr>
        <w:tc>
          <w:tcPr>
            <w:tcW w:w="1350" w:type="dxa"/>
            <w:vMerge/>
            <w:vAlign w:val="center"/>
          </w:tcPr>
          <w:p w14:paraId="1798DC79" w14:textId="77777777" w:rsidR="001A5D88" w:rsidRPr="00E83322" w:rsidRDefault="001A5D88" w:rsidP="004F10B1">
            <w:pPr>
              <w:spacing w:line="240" w:lineRule="auto"/>
              <w:jc w:val="center"/>
              <w:rPr>
                <w:rFonts w:cs="Times New Roman"/>
                <w:sz w:val="22"/>
              </w:rPr>
            </w:pPr>
          </w:p>
        </w:tc>
        <w:tc>
          <w:tcPr>
            <w:tcW w:w="896" w:type="dxa"/>
            <w:vMerge/>
            <w:vAlign w:val="center"/>
          </w:tcPr>
          <w:p w14:paraId="5E4ECB8C" w14:textId="77777777" w:rsidR="001A5D88" w:rsidRPr="00E83322" w:rsidRDefault="001A5D88" w:rsidP="004F10B1">
            <w:pPr>
              <w:spacing w:line="240" w:lineRule="auto"/>
              <w:jc w:val="center"/>
              <w:rPr>
                <w:rFonts w:cs="Times New Roman"/>
                <w:sz w:val="22"/>
              </w:rPr>
            </w:pPr>
          </w:p>
        </w:tc>
        <w:tc>
          <w:tcPr>
            <w:tcW w:w="1204" w:type="dxa"/>
            <w:vMerge/>
            <w:vAlign w:val="center"/>
          </w:tcPr>
          <w:p w14:paraId="0FE39F8A" w14:textId="77777777" w:rsidR="001A5D88" w:rsidRPr="00E83322" w:rsidRDefault="001A5D88" w:rsidP="004F10B1">
            <w:pPr>
              <w:spacing w:line="240" w:lineRule="auto"/>
              <w:jc w:val="center"/>
              <w:rPr>
                <w:rFonts w:cs="Times New Roman"/>
                <w:sz w:val="22"/>
              </w:rPr>
            </w:pPr>
          </w:p>
        </w:tc>
        <w:tc>
          <w:tcPr>
            <w:tcW w:w="886" w:type="dxa"/>
            <w:vAlign w:val="center"/>
          </w:tcPr>
          <w:p w14:paraId="2A6C3744" w14:textId="77777777" w:rsidR="001A5D88" w:rsidRPr="00E83322" w:rsidRDefault="001A5D88" w:rsidP="004F10B1">
            <w:pPr>
              <w:spacing w:line="240" w:lineRule="auto"/>
              <w:jc w:val="center"/>
              <w:rPr>
                <w:rFonts w:cs="Times New Roman"/>
                <w:sz w:val="22"/>
              </w:rPr>
            </w:pPr>
            <w:r w:rsidRPr="00E83322">
              <w:rPr>
                <w:rFonts w:cs="Times New Roman"/>
                <w:sz w:val="22"/>
              </w:rPr>
              <w:t>Begin</w:t>
            </w:r>
          </w:p>
        </w:tc>
        <w:tc>
          <w:tcPr>
            <w:tcW w:w="778" w:type="dxa"/>
            <w:vAlign w:val="center"/>
          </w:tcPr>
          <w:p w14:paraId="14910625" w14:textId="77777777" w:rsidR="001A5D88" w:rsidRPr="00E83322" w:rsidRDefault="001A5D88" w:rsidP="004F10B1">
            <w:pPr>
              <w:spacing w:line="240" w:lineRule="auto"/>
              <w:jc w:val="center"/>
              <w:rPr>
                <w:rFonts w:cs="Times New Roman"/>
                <w:sz w:val="22"/>
              </w:rPr>
            </w:pPr>
            <w:r w:rsidRPr="00E83322">
              <w:rPr>
                <w:rFonts w:cs="Times New Roman"/>
                <w:sz w:val="22"/>
              </w:rPr>
              <w:t>End</w:t>
            </w:r>
          </w:p>
        </w:tc>
        <w:tc>
          <w:tcPr>
            <w:tcW w:w="1271" w:type="dxa"/>
            <w:vMerge/>
            <w:vAlign w:val="center"/>
          </w:tcPr>
          <w:p w14:paraId="1AA57623" w14:textId="77777777" w:rsidR="001A5D88" w:rsidRPr="00E83322" w:rsidRDefault="001A5D88" w:rsidP="004F10B1">
            <w:pPr>
              <w:spacing w:line="240" w:lineRule="auto"/>
              <w:jc w:val="center"/>
              <w:rPr>
                <w:rFonts w:cs="Times New Roman"/>
                <w:sz w:val="22"/>
              </w:rPr>
            </w:pPr>
          </w:p>
        </w:tc>
        <w:tc>
          <w:tcPr>
            <w:tcW w:w="900" w:type="dxa"/>
            <w:vMerge/>
            <w:vAlign w:val="center"/>
          </w:tcPr>
          <w:p w14:paraId="58B1D522" w14:textId="77777777" w:rsidR="001A5D88" w:rsidRPr="00E83322" w:rsidRDefault="001A5D88" w:rsidP="004F10B1">
            <w:pPr>
              <w:spacing w:line="240" w:lineRule="auto"/>
              <w:jc w:val="center"/>
              <w:rPr>
                <w:rFonts w:cs="Times New Roman"/>
                <w:sz w:val="22"/>
              </w:rPr>
            </w:pPr>
          </w:p>
        </w:tc>
        <w:tc>
          <w:tcPr>
            <w:tcW w:w="1207" w:type="dxa"/>
            <w:vMerge/>
            <w:vAlign w:val="center"/>
          </w:tcPr>
          <w:p w14:paraId="394A70F0" w14:textId="77777777" w:rsidR="001A5D88" w:rsidRPr="00E83322" w:rsidRDefault="001A5D88" w:rsidP="004F10B1">
            <w:pPr>
              <w:spacing w:line="240" w:lineRule="auto"/>
              <w:jc w:val="center"/>
              <w:rPr>
                <w:rFonts w:cs="Times New Roman"/>
                <w:sz w:val="22"/>
              </w:rPr>
            </w:pPr>
          </w:p>
        </w:tc>
      </w:tr>
      <w:tr w:rsidR="001A5D88" w:rsidRPr="00E83322" w14:paraId="69597E1D" w14:textId="77777777" w:rsidTr="004F10B1">
        <w:trPr>
          <w:trHeight w:val="341"/>
        </w:trPr>
        <w:tc>
          <w:tcPr>
            <w:tcW w:w="1350" w:type="dxa"/>
            <w:vAlign w:val="center"/>
          </w:tcPr>
          <w:p w14:paraId="054AC106" w14:textId="77777777" w:rsidR="001A5D88" w:rsidRPr="00E83322" w:rsidRDefault="001A5D88" w:rsidP="004F10B1">
            <w:pPr>
              <w:spacing w:line="240" w:lineRule="auto"/>
              <w:jc w:val="center"/>
              <w:rPr>
                <w:rFonts w:cs="Times New Roman"/>
                <w:sz w:val="22"/>
              </w:rPr>
            </w:pPr>
            <w:r w:rsidRPr="00E83322">
              <w:rPr>
                <w:rFonts w:cs="Times New Roman"/>
                <w:sz w:val="22"/>
              </w:rPr>
              <w:t>Tiffin</w:t>
            </w:r>
          </w:p>
        </w:tc>
        <w:tc>
          <w:tcPr>
            <w:tcW w:w="896" w:type="dxa"/>
            <w:vAlign w:val="center"/>
          </w:tcPr>
          <w:p w14:paraId="1FDBC079"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1061</w:t>
            </w:r>
          </w:p>
        </w:tc>
        <w:tc>
          <w:tcPr>
            <w:tcW w:w="1204" w:type="dxa"/>
            <w:vAlign w:val="center"/>
          </w:tcPr>
          <w:p w14:paraId="4C73ABC3"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0C912E76" w14:textId="77777777" w:rsidR="001A5D88" w:rsidRPr="00E83322" w:rsidRDefault="001A5D88" w:rsidP="004F10B1">
            <w:pPr>
              <w:spacing w:line="240" w:lineRule="auto"/>
              <w:jc w:val="center"/>
              <w:rPr>
                <w:rFonts w:cs="Times New Roman"/>
                <w:sz w:val="22"/>
              </w:rPr>
            </w:pPr>
            <w:r w:rsidRPr="00E83322">
              <w:rPr>
                <w:rFonts w:cs="Times New Roman"/>
                <w:sz w:val="22"/>
              </w:rPr>
              <w:t>2008</w:t>
            </w:r>
          </w:p>
        </w:tc>
        <w:tc>
          <w:tcPr>
            <w:tcW w:w="778" w:type="dxa"/>
            <w:vAlign w:val="center"/>
          </w:tcPr>
          <w:p w14:paraId="38B01772" w14:textId="77777777" w:rsidR="001A5D88" w:rsidRPr="00E83322" w:rsidRDefault="001A5D88" w:rsidP="004F10B1">
            <w:pPr>
              <w:spacing w:line="240" w:lineRule="auto"/>
              <w:jc w:val="center"/>
              <w:rPr>
                <w:rFonts w:cs="Times New Roman"/>
                <w:sz w:val="22"/>
              </w:rPr>
            </w:pPr>
            <w:r w:rsidRPr="00E83322">
              <w:rPr>
                <w:rFonts w:cs="Times New Roman"/>
                <w:sz w:val="22"/>
              </w:rPr>
              <w:t>2022</w:t>
            </w:r>
          </w:p>
        </w:tc>
        <w:tc>
          <w:tcPr>
            <w:tcW w:w="1271" w:type="dxa"/>
            <w:vAlign w:val="center"/>
          </w:tcPr>
          <w:p w14:paraId="56803B31" w14:textId="77777777" w:rsidR="001A5D88" w:rsidRPr="00E83322" w:rsidRDefault="001A5D88" w:rsidP="004F10B1">
            <w:pPr>
              <w:spacing w:line="240" w:lineRule="auto"/>
              <w:jc w:val="center"/>
              <w:rPr>
                <w:rFonts w:cs="Times New Roman"/>
                <w:sz w:val="22"/>
              </w:rPr>
            </w:pPr>
            <w:r w:rsidRPr="00E83322">
              <w:rPr>
                <w:rFonts w:cs="Times New Roman"/>
                <w:sz w:val="22"/>
              </w:rPr>
              <w:t>60</w:t>
            </w:r>
          </w:p>
        </w:tc>
        <w:tc>
          <w:tcPr>
            <w:tcW w:w="900" w:type="dxa"/>
            <w:vAlign w:val="center"/>
          </w:tcPr>
          <w:p w14:paraId="106BAB48" w14:textId="77777777" w:rsidR="001A5D88" w:rsidRPr="00E83322" w:rsidRDefault="001A5D88" w:rsidP="004F10B1">
            <w:pPr>
              <w:spacing w:line="240" w:lineRule="auto"/>
              <w:jc w:val="center"/>
              <w:rPr>
                <w:rFonts w:cs="Times New Roman"/>
                <w:sz w:val="22"/>
              </w:rPr>
            </w:pPr>
            <w:r w:rsidRPr="00E83322">
              <w:rPr>
                <w:rFonts w:cs="Times New Roman"/>
                <w:sz w:val="22"/>
              </w:rPr>
              <w:t>8</w:t>
            </w:r>
          </w:p>
        </w:tc>
        <w:tc>
          <w:tcPr>
            <w:tcW w:w="1207" w:type="dxa"/>
            <w:vAlign w:val="center"/>
          </w:tcPr>
          <w:p w14:paraId="0D96B2E4" w14:textId="77777777" w:rsidR="001A5D88" w:rsidRPr="00E83322" w:rsidRDefault="001A5D88" w:rsidP="004F10B1">
            <w:pPr>
              <w:spacing w:line="240" w:lineRule="auto"/>
              <w:jc w:val="center"/>
              <w:rPr>
                <w:rFonts w:cs="Times New Roman"/>
                <w:sz w:val="22"/>
              </w:rPr>
            </w:pPr>
            <w:r w:rsidRPr="00E83322">
              <w:rPr>
                <w:rFonts w:cs="Times New Roman"/>
                <w:sz w:val="22"/>
              </w:rPr>
              <w:t>Y</w:t>
            </w:r>
          </w:p>
        </w:tc>
      </w:tr>
      <w:tr w:rsidR="004F3EF9" w:rsidRPr="00E83322" w14:paraId="5F781771" w14:textId="77777777" w:rsidTr="004F10B1">
        <w:trPr>
          <w:trHeight w:val="341"/>
        </w:trPr>
        <w:tc>
          <w:tcPr>
            <w:tcW w:w="1350" w:type="dxa"/>
            <w:vAlign w:val="center"/>
          </w:tcPr>
          <w:p w14:paraId="10E618B2" w14:textId="0A7EB9CA" w:rsidR="004F3EF9" w:rsidRPr="00E83322" w:rsidRDefault="004F3EF9" w:rsidP="004F3EF9">
            <w:pPr>
              <w:spacing w:line="240" w:lineRule="auto"/>
              <w:jc w:val="center"/>
              <w:rPr>
                <w:rFonts w:cs="Times New Roman"/>
                <w:sz w:val="22"/>
              </w:rPr>
            </w:pPr>
            <w:r w:rsidRPr="00E83322">
              <w:rPr>
                <w:rFonts w:cs="Times New Roman"/>
                <w:sz w:val="22"/>
              </w:rPr>
              <w:t>Blanchard</w:t>
            </w:r>
          </w:p>
        </w:tc>
        <w:tc>
          <w:tcPr>
            <w:tcW w:w="896" w:type="dxa"/>
            <w:vAlign w:val="center"/>
          </w:tcPr>
          <w:p w14:paraId="664E27A6" w14:textId="3AAA41A4" w:rsidR="004F3EF9" w:rsidRPr="00E83322" w:rsidRDefault="004F3EF9" w:rsidP="004F3EF9">
            <w:pPr>
              <w:spacing w:line="240" w:lineRule="auto"/>
              <w:jc w:val="center"/>
              <w:rPr>
                <w:rFonts w:cs="Times New Roman"/>
                <w:color w:val="000000"/>
                <w:sz w:val="22"/>
              </w:rPr>
            </w:pPr>
            <w:r w:rsidRPr="00E83322">
              <w:rPr>
                <w:rFonts w:cs="Times New Roman"/>
                <w:sz w:val="22"/>
              </w:rPr>
              <w:t>896</w:t>
            </w:r>
          </w:p>
        </w:tc>
        <w:tc>
          <w:tcPr>
            <w:tcW w:w="1204" w:type="dxa"/>
            <w:vAlign w:val="center"/>
          </w:tcPr>
          <w:p w14:paraId="5F53F3FA" w14:textId="30A50074" w:rsidR="004F3EF9" w:rsidRPr="00E83322" w:rsidRDefault="004F3EF9" w:rsidP="004F3EF9">
            <w:pPr>
              <w:spacing w:line="240" w:lineRule="auto"/>
              <w:jc w:val="center"/>
              <w:rPr>
                <w:rFonts w:cs="Times New Roman"/>
                <w:color w:val="000000"/>
                <w:sz w:val="22"/>
              </w:rPr>
            </w:pPr>
            <w:r w:rsidRPr="00E83322">
              <w:rPr>
                <w:rFonts w:cs="Times New Roman"/>
                <w:color w:val="000000"/>
                <w:sz w:val="22"/>
              </w:rPr>
              <w:t>04193500</w:t>
            </w:r>
          </w:p>
        </w:tc>
        <w:tc>
          <w:tcPr>
            <w:tcW w:w="886" w:type="dxa"/>
            <w:vAlign w:val="center"/>
          </w:tcPr>
          <w:p w14:paraId="32C3B482" w14:textId="450F2DBE"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18F0AE47" w14:textId="725AB66D"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645AA578" w14:textId="1D155CB9" w:rsidR="004F3EF9" w:rsidRPr="00E83322" w:rsidRDefault="004F3EF9" w:rsidP="004F3EF9">
            <w:pPr>
              <w:spacing w:line="240" w:lineRule="auto"/>
              <w:jc w:val="center"/>
              <w:rPr>
                <w:rFonts w:cs="Times New Roman"/>
                <w:sz w:val="22"/>
              </w:rPr>
            </w:pPr>
            <w:r w:rsidRPr="00E83322">
              <w:rPr>
                <w:rFonts w:cs="Times New Roman"/>
                <w:sz w:val="22"/>
              </w:rPr>
              <w:t>79</w:t>
            </w:r>
          </w:p>
        </w:tc>
        <w:tc>
          <w:tcPr>
            <w:tcW w:w="900" w:type="dxa"/>
            <w:vAlign w:val="center"/>
          </w:tcPr>
          <w:p w14:paraId="048AD7F8" w14:textId="5792F90D" w:rsidR="004F3EF9" w:rsidRPr="00E83322" w:rsidRDefault="004F3EF9" w:rsidP="004F3EF9">
            <w:pPr>
              <w:spacing w:line="240" w:lineRule="auto"/>
              <w:jc w:val="center"/>
              <w:rPr>
                <w:rFonts w:cs="Times New Roman"/>
                <w:sz w:val="22"/>
              </w:rPr>
            </w:pPr>
            <w:r w:rsidRPr="00E83322">
              <w:rPr>
                <w:rFonts w:cs="Times New Roman"/>
                <w:sz w:val="22"/>
              </w:rPr>
              <w:t>10</w:t>
            </w:r>
          </w:p>
        </w:tc>
        <w:tc>
          <w:tcPr>
            <w:tcW w:w="1207" w:type="dxa"/>
            <w:vAlign w:val="center"/>
          </w:tcPr>
          <w:p w14:paraId="5D8C03BB" w14:textId="3C694B61"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2ED9921B" w14:textId="77777777" w:rsidTr="004F10B1">
        <w:trPr>
          <w:trHeight w:val="341"/>
        </w:trPr>
        <w:tc>
          <w:tcPr>
            <w:tcW w:w="1350" w:type="dxa"/>
            <w:vAlign w:val="center"/>
          </w:tcPr>
          <w:p w14:paraId="2947FB99" w14:textId="77777777" w:rsidR="004F3EF9" w:rsidRPr="00E83322" w:rsidRDefault="004F3EF9" w:rsidP="004F3EF9">
            <w:pPr>
              <w:spacing w:line="240" w:lineRule="auto"/>
              <w:jc w:val="center"/>
              <w:rPr>
                <w:rFonts w:cs="Times New Roman"/>
                <w:sz w:val="22"/>
              </w:rPr>
            </w:pPr>
            <w:r w:rsidRPr="00E83322">
              <w:rPr>
                <w:rFonts w:cs="Times New Roman"/>
                <w:sz w:val="22"/>
              </w:rPr>
              <w:t>Maumee</w:t>
            </w:r>
          </w:p>
        </w:tc>
        <w:tc>
          <w:tcPr>
            <w:tcW w:w="896" w:type="dxa"/>
            <w:vAlign w:val="center"/>
          </w:tcPr>
          <w:p w14:paraId="498BE6FC"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1729398D"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23918E32"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2208E1F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49D0A2DB" w14:textId="77777777" w:rsidR="004F3EF9" w:rsidRPr="00E83322" w:rsidRDefault="004F3EF9" w:rsidP="004F3EF9">
            <w:pPr>
              <w:spacing w:line="240" w:lineRule="auto"/>
              <w:jc w:val="center"/>
              <w:rPr>
                <w:rFonts w:cs="Times New Roman"/>
                <w:sz w:val="22"/>
              </w:rPr>
            </w:pPr>
            <w:r w:rsidRPr="00E83322">
              <w:rPr>
                <w:rFonts w:cs="Times New Roman"/>
                <w:sz w:val="22"/>
              </w:rPr>
              <w:t>73</w:t>
            </w:r>
          </w:p>
        </w:tc>
        <w:tc>
          <w:tcPr>
            <w:tcW w:w="900" w:type="dxa"/>
            <w:vAlign w:val="center"/>
          </w:tcPr>
          <w:p w14:paraId="64049043"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1E1F38FA" w14:textId="77777777"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02458346" w14:textId="77777777" w:rsidTr="004F10B1">
        <w:trPr>
          <w:trHeight w:val="358"/>
        </w:trPr>
        <w:tc>
          <w:tcPr>
            <w:tcW w:w="1350" w:type="dxa"/>
            <w:vAlign w:val="center"/>
          </w:tcPr>
          <w:p w14:paraId="6BC6F3FE" w14:textId="77777777" w:rsidR="004F3EF9" w:rsidRPr="00E83322" w:rsidRDefault="004F3EF9" w:rsidP="004F3EF9">
            <w:pPr>
              <w:spacing w:line="240" w:lineRule="auto"/>
              <w:jc w:val="center"/>
              <w:rPr>
                <w:rFonts w:cs="Times New Roman"/>
                <w:sz w:val="22"/>
              </w:rPr>
            </w:pPr>
            <w:r w:rsidRPr="00E83322">
              <w:rPr>
                <w:rFonts w:cs="Times New Roman"/>
                <w:sz w:val="22"/>
              </w:rPr>
              <w:t>Raisin</w:t>
            </w:r>
          </w:p>
        </w:tc>
        <w:tc>
          <w:tcPr>
            <w:tcW w:w="896" w:type="dxa"/>
            <w:vAlign w:val="center"/>
          </w:tcPr>
          <w:p w14:paraId="4A8B3D7A"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2698</w:t>
            </w:r>
          </w:p>
        </w:tc>
        <w:tc>
          <w:tcPr>
            <w:tcW w:w="1204" w:type="dxa"/>
            <w:vAlign w:val="center"/>
          </w:tcPr>
          <w:p w14:paraId="5AC241DE"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6965C59A"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005A8AA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2C84E242" w14:textId="77777777" w:rsidR="004F3EF9" w:rsidRPr="00E83322" w:rsidRDefault="004F3EF9" w:rsidP="004F3EF9">
            <w:pPr>
              <w:spacing w:line="240" w:lineRule="auto"/>
              <w:jc w:val="center"/>
              <w:rPr>
                <w:rFonts w:cs="Times New Roman"/>
                <w:sz w:val="22"/>
              </w:rPr>
            </w:pPr>
            <w:r w:rsidRPr="00E83322">
              <w:rPr>
                <w:rFonts w:cs="Times New Roman"/>
                <w:sz w:val="22"/>
              </w:rPr>
              <w:t>50</w:t>
            </w:r>
          </w:p>
        </w:tc>
        <w:tc>
          <w:tcPr>
            <w:tcW w:w="900" w:type="dxa"/>
            <w:vAlign w:val="center"/>
          </w:tcPr>
          <w:p w14:paraId="00E8D86C"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7FC34BF2" w14:textId="77777777" w:rsidR="004F3EF9" w:rsidRPr="00E83322" w:rsidRDefault="004F3EF9" w:rsidP="004F3EF9">
            <w:pPr>
              <w:spacing w:line="240" w:lineRule="auto"/>
              <w:jc w:val="center"/>
              <w:rPr>
                <w:rFonts w:cs="Times New Roman"/>
                <w:sz w:val="22"/>
              </w:rPr>
            </w:pPr>
            <w:r w:rsidRPr="00E83322">
              <w:rPr>
                <w:rFonts w:cs="Times New Roman"/>
                <w:sz w:val="22"/>
              </w:rPr>
              <w:t>N</w:t>
            </w:r>
          </w:p>
        </w:tc>
      </w:tr>
    </w:tbl>
    <w:p w14:paraId="6DD0B57E" w14:textId="487068D3" w:rsidR="001A5D88" w:rsidRDefault="001A5D88" w:rsidP="00020458">
      <w:pPr>
        <w:ind w:firstLine="720"/>
      </w:pPr>
    </w:p>
    <w:p w14:paraId="3E828FD1" w14:textId="01F4C2B9" w:rsidR="00FD5A3F" w:rsidRDefault="00FD5A3F" w:rsidP="00FD5A3F">
      <w:pPr>
        <w:ind w:firstLine="720"/>
      </w:pPr>
      <w:r>
        <w:lastRenderedPageBreak/>
        <w:t>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the Raisin sites had data going back to the 20</w:t>
      </w:r>
      <w:r w:rsidRPr="00FD5A3F">
        <w:rPr>
          <w:vertAlign w:val="superscript"/>
        </w:rPr>
        <w:t>th</w:t>
      </w:r>
      <w:r>
        <w:t xml:space="preserve"> century, but 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Raisin sites had samples collected spanning back to the 20th century, but sampling only began at the Tiffin and Blanchard sites in 2007.</w:t>
      </w:r>
    </w:p>
    <w:p w14:paraId="1C08DFA2" w14:textId="75DBC806" w:rsidR="00FD5A3F" w:rsidRDefault="00FD5A3F" w:rsidP="00FD5A3F">
      <w:pPr>
        <w:ind w:firstLine="720"/>
      </w:pPr>
      <w:r>
        <w:t>Prior to analysis, sub-daily sample concentrations were aggregated into daily values by calculating the daily flow-weighted mean</w:t>
      </w:r>
      <w:r w:rsidRPr="002A2836">
        <w:t xml:space="preserve"> concentration </w:t>
      </w:r>
      <w:r>
        <w:t xml:space="preserve">on days </w:t>
      </w:r>
      <w:r w:rsidRPr="002A2836">
        <w:t>when multiple measurements were available</w:t>
      </w:r>
      <w:r>
        <w:t>. S</w:t>
      </w:r>
      <w:r w:rsidRPr="003C6EFE">
        <w:t xml:space="preserve">treamflow data </w:t>
      </w:r>
      <w:r>
        <w:t xml:space="preserve">from nearby </w:t>
      </w:r>
      <w:r w:rsidRPr="003C6EFE">
        <w:t>were U.S. Geological Survey (USGS) gauging station</w:t>
      </w:r>
      <w:r>
        <w:t>s were</w:t>
      </w:r>
      <w:r w:rsidRPr="003C6EFE">
        <w:t xml:space="preserve"> downloaded from the USGS data portal using the R package </w:t>
      </w:r>
      <w:r w:rsidRPr="003C6EFE">
        <w:rPr>
          <w:i/>
          <w:iCs/>
        </w:rPr>
        <w:t>dataRetrieval</w:t>
      </w:r>
      <w:r>
        <w:rPr>
          <w:i/>
          <w:iCs/>
        </w:rPr>
        <w:t xml:space="preserve"> </w:t>
      </w:r>
      <w:r w:rsidRPr="001A5D88">
        <w:fldChar w:fldCharType="begin"/>
      </w:r>
      <w:r w:rsidRPr="001A5D88">
        <w:instrText xml:space="preserve"> ADDIN EN.CITE &lt;EndNote&gt;&lt;Cite&gt;&lt;Author&gt;DeCicco&lt;/Author&gt;&lt;Year&gt;2023&lt;/Year&gt;&lt;RecNum&gt;16971&lt;/RecNum&gt;&lt;DisplayText&gt;(DeCicco, Hirsch, Lorenz, Watkins, &amp;amp; Johnson, 2023)&lt;/DisplayText&gt;&lt;record&gt;&lt;rec-number&gt;16971&lt;/rec-number&gt;&lt;foreign-keys&gt;&lt;key app="EN" db-id="vxf5p2xpuads9deaf5xvd2ri20s0at2spve5" timestamp="1701789898"&gt;16971&lt;/key&gt;&lt;/foreign-keys&gt;&lt;ref-type name="Computer Program"&gt;9&lt;/ref-type&gt;&lt;contributors&gt;&lt;authors&gt;&lt;author&gt;DeCicco, L.&lt;/author&gt;&lt;author&gt;Hirsch, R.&lt;/author&gt;&lt;author&gt;Lorenz, D.&lt;/author&gt;&lt;author&gt;Watkins, D. &lt;/author&gt;&lt;author&gt;Johnson, M.&lt;/author&gt;&lt;/authors&gt;&lt;/contributors&gt;&lt;titles&gt;&lt;title&gt;dataRetrieval: R packages for discovering and retrieving&amp;#xD;      water data available from U.S. federal hydrologic web services&lt;/title&gt;&lt;/titles&gt;&lt;edition&gt;2.7.13&lt;/edition&gt;&lt;dates&gt;&lt;year&gt;2023&lt;/year&gt;&lt;/dates&gt;&lt;pub-location&gt;Reston, VA&lt;/pub-location&gt;&lt;publisher&gt;U.S. Geological Survey&lt;/publisher&gt;&lt;urls&gt;&lt;related-urls&gt;&lt;url&gt;https://code.usgs.gov/water/dataRetrieval&lt;/url&gt;&lt;/related-urls&gt;&lt;/urls&gt;&lt;electronic-resource-num&gt;10.5066/P9X4L3GE&lt;/electronic-resource-num&gt;&lt;/record&gt;&lt;/Cite&gt;&lt;/EndNote&gt;</w:instrText>
      </w:r>
      <w:r w:rsidRPr="001A5D88">
        <w:fldChar w:fldCharType="separate"/>
      </w:r>
      <w:r w:rsidRPr="001A5D88">
        <w:rPr>
          <w:noProof/>
        </w:rPr>
        <w:t>(DeCicco, Hirsch, Lorenz, Watkins, &amp; Johnson, 2023)</w:t>
      </w:r>
      <w:r w:rsidRPr="001A5D88">
        <w:fldChar w:fldCharType="end"/>
      </w:r>
      <w:r w:rsidRPr="001A5D88">
        <w:t>.</w:t>
      </w:r>
      <w:r>
        <w:t xml:space="preserve"> All data were retrieved and analyzed by water year (WY), which is defined as the 12-month period from October 1 through September 30 and associated with the calendar year in which the WY ends. </w:t>
      </w:r>
    </w:p>
    <w:p w14:paraId="0C06354D" w14:textId="77777777" w:rsidR="00A774C4" w:rsidRDefault="00A774C4" w:rsidP="00A774C4">
      <w:pPr>
        <w:pStyle w:val="Heading2"/>
      </w:pPr>
      <w:r>
        <w:t>Identifying Frozen Soil and Thaw Transition Periods</w:t>
      </w:r>
    </w:p>
    <w:p w14:paraId="65378976" w14:textId="77777777" w:rsidR="00A774C4" w:rsidRDefault="00A774C4" w:rsidP="00A774C4">
      <w:pPr>
        <w:ind w:firstLine="576"/>
      </w:pPr>
      <w:r>
        <w:t xml:space="preserve">Similar to </w:t>
      </w:r>
      <w:r>
        <w:fldChar w:fldCharType="begin"/>
      </w:r>
      <w:r>
        <w:instrText xml:space="preserve"> ADDIN EN.CITE &lt;EndNote&gt;&lt;Cite AuthorYear="1"&gt;&lt;Author&gt;Jacquemin&lt;/Author&gt;&lt;Year&gt;2018&lt;/Year&gt;&lt;RecNum&gt;16967&lt;/RecNum&gt;&lt;DisplayText&gt;Jacquemin, Johnson, Dirksen, and McGlinch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fldChar w:fldCharType="separate"/>
      </w:r>
      <w:r>
        <w:rPr>
          <w:noProof/>
        </w:rPr>
        <w:t>Jacquemin, Johnson, Dirksen, and McGlinch (2018)</w:t>
      </w:r>
      <w:r>
        <w:fldChar w:fldCharType="end"/>
      </w:r>
      <w:r>
        <w:t>, we sought to evaluate changes</w:t>
      </w:r>
      <w:r w:rsidRPr="00851439">
        <w:t xml:space="preserve"> in nutrient export caused </w:t>
      </w:r>
      <w:r>
        <w:t xml:space="preserve">by </w:t>
      </w:r>
      <w:r w:rsidRPr="00851439">
        <w:t xml:space="preserve">or at least correlated with </w:t>
      </w:r>
      <w:r>
        <w:t>a</w:t>
      </w:r>
      <w:r w:rsidRPr="00851439">
        <w:t xml:space="preserve"> manure application ban </w:t>
      </w:r>
      <w:r>
        <w:t xml:space="preserve">by </w:t>
      </w:r>
      <w:r w:rsidRPr="00851439">
        <w:t>compar</w:t>
      </w:r>
      <w:r>
        <w:t>ing</w:t>
      </w:r>
      <w:r w:rsidRPr="00851439">
        <w:t xml:space="preserve"> daily flow weighted mean concentrations </w:t>
      </w:r>
      <w:r>
        <w:t>(</w:t>
      </w:r>
      <w:r w:rsidRPr="00851439">
        <w:t>fwmc</w:t>
      </w:r>
      <w:r>
        <w:t>)</w:t>
      </w:r>
      <w:r w:rsidRPr="00851439">
        <w:t xml:space="preserve"> pre</w:t>
      </w:r>
      <w:r>
        <w:t>-</w:t>
      </w:r>
      <w:r w:rsidRPr="00851439">
        <w:t xml:space="preserve"> and post</w:t>
      </w:r>
      <w:r>
        <w:t>-</w:t>
      </w:r>
      <w:r w:rsidRPr="00851439">
        <w:t xml:space="preserve">regulation implementation both during and outside of the ban period. However, unlike the Grand Lake St. </w:t>
      </w:r>
      <w:r w:rsidRPr="00851439">
        <w:lastRenderedPageBreak/>
        <w:t>Mary's watershed, a definitive period of no application was not prescribed as part of the WLEB nutrient application rules. Instead, the ruling states that fertilizer or manure cannot be applied on frozen or snow-covered soils. The problem with this terminology is</w:t>
      </w:r>
      <w:r>
        <w:t xml:space="preserve"> threefold. First,</w:t>
      </w:r>
      <w:r w:rsidRPr="00851439">
        <w:t xml:space="preserve"> snow cover can vary across the basin</w:t>
      </w:r>
      <w:r>
        <w:t>. Second, and perhaps</w:t>
      </w:r>
      <w:r w:rsidRPr="00851439">
        <w:t xml:space="preserve"> more importantly, there is interannual variation in the periods of snow-covered or frozen soils. For example, one December may have frozen soils for the entire month, while </w:t>
      </w:r>
      <w:r>
        <w:t>another</w:t>
      </w:r>
      <w:r w:rsidRPr="00851439">
        <w:t xml:space="preserve"> December </w:t>
      </w:r>
      <w:r>
        <w:t xml:space="preserve">may have unfrozen soils for the entire month. In this case, a </w:t>
      </w:r>
      <w:r w:rsidRPr="00851439">
        <w:t xml:space="preserve">comparison of </w:t>
      </w:r>
      <w:r>
        <w:t xml:space="preserve">concentrations between </w:t>
      </w:r>
      <w:r w:rsidRPr="00851439">
        <w:t>December</w:t>
      </w:r>
      <w:r>
        <w:t xml:space="preserve">s </w:t>
      </w:r>
      <w:r w:rsidRPr="00851439">
        <w:t xml:space="preserve">may not elucidate the effects of </w:t>
      </w:r>
      <w:r>
        <w:t xml:space="preserve">nutrient application </w:t>
      </w:r>
      <w:r w:rsidRPr="00851439">
        <w:t>restrictions.</w:t>
      </w:r>
      <w:r>
        <w:t xml:space="preserve"> Finally, the response of the treatment (i.e., P concentration in stream discharge) has the potential to be delayed and occur when snow melts and soil thaws.</w:t>
      </w:r>
    </w:p>
    <w:p w14:paraId="1EA16071" w14:textId="77777777" w:rsidR="00A774C4" w:rsidRDefault="00A774C4" w:rsidP="00A774C4">
      <w:pPr>
        <w:ind w:firstLine="576"/>
      </w:pPr>
      <w:r>
        <w:t xml:space="preserve">To adjust for these conditions, </w:t>
      </w:r>
      <w:r w:rsidRPr="00CE6EB8">
        <w:t>pre/post analysis based on specific time frames, we needed to define periods during which soils are most likely to be</w:t>
      </w:r>
      <w:r>
        <w:t xml:space="preserve"> either</w:t>
      </w:r>
      <w:r w:rsidRPr="00CE6EB8">
        <w:t xml:space="preserve"> frozen</w:t>
      </w:r>
      <w:r>
        <w:t>, thawing, or unfrozen</w:t>
      </w:r>
      <w:r w:rsidRPr="00CE6EB8">
        <w:t xml:space="preserve">. </w:t>
      </w:r>
      <w:r>
        <w:t xml:space="preserve">Soil frost-in and frost-out dates were derived from frost depth measurements recorded at the Ohio State University Northwest Agricultural Research Station in Wood County, Ohio. The station records average daily soil temperatures at 5 and 10 cm below the surface. Frozen surface soils were estimated to be present when the average daily soil temperature at 5 cm below the surface was below 34 degrees. We defined frost-in as the first date with frozen soils for seven consecutive days. The frost-in date was retroactively set to the first day of the seven consecutive days. To end the frost period, the soils needed to be unfrozen for 14 consecutive days. The frost-out date was retroactively set to the last day with frozen soils. Days between frost-in and frost-out were considered frozen soil days. The last day of frozen soil was set as day 0 for the thaw period. The thaw periods were determined by plotting the days before (as negative values) and after (as positive values) frost-out with respect to daily Q values. The period with greater Q values were determined to be thaw periods. This was conservatively identified as the period from </w:t>
      </w:r>
      <w:r>
        <w:lastRenderedPageBreak/>
        <w:t>5 days before frost-out to 20 days after frost-out. These days were set as thaw days, with the 5 days before frost-out converted from frozen to thaw days. Any days without frozen soils or thawing soils was designated as a warm period day. The warm period was split into either spring of fall application season, with the breakpoint being July 1</w:t>
      </w:r>
      <w:r w:rsidRPr="00A77555">
        <w:rPr>
          <w:vertAlign w:val="superscript"/>
        </w:rPr>
        <w:t>st</w:t>
      </w:r>
      <w:r>
        <w:t xml:space="preserve">. </w:t>
      </w:r>
    </w:p>
    <w:p w14:paraId="087B7D52" w14:textId="6E2ED301" w:rsidR="0009540C" w:rsidRDefault="00250D08" w:rsidP="0009540C">
      <w:pPr>
        <w:pStyle w:val="Heading2"/>
      </w:pPr>
      <w:r>
        <w:t xml:space="preserve">Data </w:t>
      </w:r>
      <w:r w:rsidR="00DF2E13">
        <w:t>Analysis</w:t>
      </w:r>
    </w:p>
    <w:p w14:paraId="4083DA05" w14:textId="4D5C9C0D" w:rsidR="0009540C" w:rsidRDefault="0009540C" w:rsidP="0009540C">
      <w:pPr>
        <w:ind w:firstLine="576"/>
      </w:pPr>
      <w:r>
        <w:t xml:space="preserve">Changes in SRP, TP, and TSS concentration and flux </w:t>
      </w:r>
      <w:r w:rsidR="007F21B4">
        <w:t xml:space="preserve">were evaluated for </w:t>
      </w:r>
      <w:r>
        <w:t>the period from 2008 to 2022</w:t>
      </w:r>
      <w:r w:rsidR="007F21B4">
        <w:t xml:space="preserve">. Using 2008 as a starting point allows the analysis to evaluate trends since the baseline year of 2008 for phosphorus reduction targets in Lake Erie </w:t>
      </w:r>
      <w:r w:rsidR="007F21B4">
        <w:fldChar w:fldCharType="begin"/>
      </w:r>
      <w:r w:rsidR="007F21B4">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7F21B4">
        <w:fldChar w:fldCharType="separate"/>
      </w:r>
      <w:r w:rsidR="007F21B4">
        <w:rPr>
          <w:noProof/>
        </w:rPr>
        <w:t>(Annex 4, 2015)</w:t>
      </w:r>
      <w:r w:rsidR="007F21B4">
        <w:fldChar w:fldCharType="end"/>
      </w:r>
      <w:r w:rsidR="007F21B4">
        <w:t xml:space="preserve">. </w:t>
      </w:r>
      <w:r w:rsidR="00B1437D">
        <w:t xml:space="preserve">Concentrations and fluxes were </w:t>
      </w:r>
      <w:r>
        <w:t xml:space="preserve">estimated using the weighted regressions on time, discharge, and season (WRTDS) model. The </w:t>
      </w:r>
      <w:r w:rsidRPr="00D150A7">
        <w:t>WRTDS</w:t>
      </w:r>
      <w:r>
        <w:t xml:space="preserve"> model was </w:t>
      </w:r>
      <w:r w:rsidRPr="00FD7DDC">
        <w:t xml:space="preserve">designed to </w:t>
      </w:r>
      <w:r>
        <w:t>extract the maximum amount of information from water quality datasets, such as those collected by National Water Quality Research Laboratory (</w:t>
      </w:r>
      <w:r w:rsidRPr="001B429D">
        <w:t>Hirsch</w:t>
      </w:r>
      <w:r>
        <w:t xml:space="preserve"> et al., 2010). It wa</w:t>
      </w:r>
      <w:r w:rsidRPr="00D150A7">
        <w:t xml:space="preserve">s </w:t>
      </w:r>
      <w:r>
        <w:t>designed</w:t>
      </w:r>
      <w:r w:rsidRPr="00D150A7">
        <w:t xml:space="preserve"> </w:t>
      </w:r>
      <w:r w:rsidRPr="009C16DB">
        <w:t xml:space="preserve">to provide internally consistent estimates of the actual history of concentrations and fluxes </w:t>
      </w:r>
      <w:r>
        <w:t>and eliminate</w:t>
      </w:r>
      <w:r w:rsidRPr="009C16DB">
        <w:t xml:space="preserve"> the influence of </w:t>
      </w:r>
      <w:r>
        <w:t>interannual</w:t>
      </w:r>
      <w:r w:rsidRPr="009C16DB">
        <w:t xml:space="preserve"> variations in streamflow</w:t>
      </w:r>
      <w:r>
        <w:t>. R</w:t>
      </w:r>
      <w:r w:rsidRPr="00093074">
        <w:t xml:space="preserve">esults </w:t>
      </w:r>
      <w:r>
        <w:t xml:space="preserve">produced from this method are </w:t>
      </w:r>
      <w:r w:rsidRPr="00093074">
        <w:t xml:space="preserve">useful in further examination of the causes of changes, or lack of changes, and may help inform decisions about future actions to reduce </w:t>
      </w:r>
      <w:r>
        <w:t xml:space="preserve">nonpoint source pollution. </w:t>
      </w:r>
    </w:p>
    <w:p w14:paraId="730BFF29" w14:textId="6086E7E2" w:rsidR="0009540C" w:rsidRDefault="007F21B4" w:rsidP="0009540C">
      <w:pPr>
        <w:ind w:firstLine="576"/>
      </w:pPr>
      <w:r>
        <w:t>T</w:t>
      </w:r>
      <w:r w:rsidR="0009540C">
        <w:t xml:space="preserve">he WRTDS model </w:t>
      </w:r>
      <w:r>
        <w:t xml:space="preserve">was used to make </w:t>
      </w:r>
      <w:r w:rsidR="0009540C">
        <w:t xml:space="preserve">estimates </w:t>
      </w:r>
      <w:r>
        <w:t xml:space="preserve">of SRP, TP, and TSS </w:t>
      </w:r>
      <w:r w:rsidR="0009540C">
        <w:t>concentration</w:t>
      </w:r>
      <w:r>
        <w:t>s for each day of the period at each site. These estimated daily concentrations were</w:t>
      </w:r>
      <w:r w:rsidR="0009540C">
        <w:t xml:space="preserve"> multiplied by the respective daily mean streamflow to produce an estimate of the daily flux (i.e., load). Using these estimates, f</w:t>
      </w:r>
      <w:r w:rsidR="0009540C" w:rsidRPr="003C6EFE">
        <w:t>low normalized (FN) concentrations</w:t>
      </w:r>
      <w:r w:rsidR="0009540C">
        <w:t xml:space="preserve"> and fluxes were computed using the EGRET R package</w:t>
      </w:r>
      <w:r>
        <w:t xml:space="preserve"> </w:t>
      </w:r>
      <w:r>
        <w:fldChar w:fldCharType="begin"/>
      </w:r>
      <w:r>
        <w:instrText xml:space="preserve"> ADDIN EN.CITE &lt;EndNote&gt;&lt;Cite&gt;&lt;Author&gt;Hirsch&lt;/Author&gt;&lt;Year&gt;2023&lt;/Year&gt;&lt;RecNum&gt;16973&lt;/RecNum&gt;&lt;DisplayText&gt;(R. Hirsch, DeCicco, &amp;amp; Murphy, 2023)&lt;/DisplayText&gt;&lt;record&gt;&lt;rec-number&gt;16973&lt;/rec-number&gt;&lt;foreign-keys&gt;&lt;key app="EN" db-id="vxf5p2xpuads9deaf5xvd2ri20s0at2spve5" timestamp="1701793680"&gt;16973&lt;/key&gt;&lt;/foreign-keys&gt;&lt;ref-type name="Computer Program"&gt;9&lt;/ref-type&gt;&lt;contributors&gt;&lt;authors&gt;&lt;author&gt;Hirsch, R.&lt;/author&gt;&lt;author&gt;DeCicco, L.&lt;/author&gt;&lt;author&gt;Murphy, J.&lt;/author&gt;&lt;/authors&gt;&lt;/contributors&gt;&lt;titles&gt;&lt;title&gt;Exploration and Graphics for RivEr Trends (EGRET)&lt;/title&gt;&lt;/titles&gt;&lt;dates&gt;&lt;year&gt;2023&lt;/year&gt;&lt;/dates&gt;&lt;publisher&gt;U.S. Geological Survey&lt;/publisher&gt;&lt;urls&gt;&lt;related-urls&gt;&lt;url&gt;https://pubs.usgs.gov/tm/04/a10/&lt;/url&gt;&lt;/related-urls&gt;&lt;/urls&gt;&lt;/record&gt;&lt;/Cite&gt;&lt;/EndNote&gt;</w:instrText>
      </w:r>
      <w:r>
        <w:fldChar w:fldCharType="separate"/>
      </w:r>
      <w:r>
        <w:rPr>
          <w:noProof/>
        </w:rPr>
        <w:t>(R. Hirsch, DeCicco, &amp; Murphy, 2023)</w:t>
      </w:r>
      <w:r>
        <w:fldChar w:fldCharType="end"/>
      </w:r>
      <w:r w:rsidR="0009540C">
        <w:t xml:space="preserve">. FN </w:t>
      </w:r>
      <w:r>
        <w:t xml:space="preserve">concentrations and </w:t>
      </w:r>
      <w:r w:rsidR="0009540C">
        <w:t xml:space="preserve">fluxes were used for trend analysis. </w:t>
      </w:r>
      <w:r w:rsidR="0009540C" w:rsidRPr="003C6EFE">
        <w:t>The smoothing process that allow</w:t>
      </w:r>
      <w:r>
        <w:t>s</w:t>
      </w:r>
      <w:r w:rsidR="0009540C" w:rsidRPr="003C6EFE">
        <w:t xml:space="preserve"> flow normalization to provide the best </w:t>
      </w:r>
      <w:r>
        <w:t>trend evaluation</w:t>
      </w:r>
      <w:r w:rsidR="0009540C" w:rsidRPr="003C6EFE">
        <w:t xml:space="preserve">, also means flow normalization doesn’t provide the most accurate estimates of </w:t>
      </w:r>
      <w:r w:rsidR="0009540C" w:rsidRPr="003C6EFE">
        <w:lastRenderedPageBreak/>
        <w:t>nutrient concentrations and loads</w:t>
      </w:r>
      <w:r w:rsidR="00B1437D">
        <w:t xml:space="preserve"> </w:t>
      </w:r>
      <w:r w:rsidR="00B1437D">
        <w:fldChar w:fldCharType="begin"/>
      </w:r>
      <w:r w:rsidR="00B1437D">
        <w:instrText xml:space="preserve"> ADDIN EN.CITE &lt;EndNote&gt;&lt;Cite&gt;&lt;Author&gt;Rowland&lt;/Author&gt;&lt;Year&gt;2021&lt;/Year&gt;&lt;RecNum&gt;16957&lt;/RecNum&gt;&lt;DisplayText&gt;(Rowland et al., 2021)&lt;/DisplayText&gt;&lt;record&gt;&lt;rec-number&gt;16957&lt;/rec-number&gt;&lt;foreign-keys&gt;&lt;key app="EN" db-id="vxf5p2xpuads9deaf5xvd2ri20s0at2spve5" timestamp="1685545137"&gt;16957&lt;/key&gt;&lt;/foreign-keys&gt;&lt;ref-type name="Journal Article"&gt;17&lt;/ref-type&gt;&lt;contributors&gt;&lt;authors&gt;&lt;author&gt;Rowland, Freya E.&lt;/author&gt;&lt;author&gt;Stow, Craig A.&lt;/author&gt;&lt;author&gt;Johnson, Laura T.&lt;/author&gt;&lt;author&gt;Hirsch, Robert M.&lt;/author&gt;&lt;/authors&gt;&lt;/contributors&gt;&lt;titles&gt;&lt;title&gt;Lake Erie tributary nutrient trend evaluation: Normalizing concentrations and loads to reduce flow variability&lt;/title&gt;&lt;secondary-title&gt;Ecological Indicators&lt;/secondary-title&gt;&lt;/titles&gt;&lt;periodical&gt;&lt;full-title&gt;Ecological Indicators&lt;/full-title&gt;&lt;/periodical&gt;&lt;pages&gt;107601&lt;/pages&gt;&lt;volume&gt;125&lt;/volume&gt;&lt;keywords&gt;&lt;keyword&gt;Long-term data&lt;/keyword&gt;&lt;keyword&gt;Monitoring&lt;/keyword&gt;&lt;keyword&gt;Nutrients&lt;/keyword&gt;&lt;keyword&gt;Statistics&lt;/keyword&gt;&lt;keyword&gt;Streams&lt;/keyword&gt;&lt;keyword&gt;Time-series analysis&lt;/keyword&gt;&lt;/keywords&gt;&lt;dates&gt;&lt;year&gt;2021&lt;/year&gt;&lt;pub-dates&gt;&lt;date&gt;2021/06/01/&lt;/date&gt;&lt;/pub-dates&gt;&lt;/dates&gt;&lt;isbn&gt;1470-160X&lt;/isbn&gt;&lt;urls&gt;&lt;related-urls&gt;&lt;url&gt;https://www.sciencedirect.com/science/article/pii/S1470160X21002661&lt;/url&gt;&lt;/related-urls&gt;&lt;/urls&gt;&lt;electronic-resource-num&gt;https://doi.org/10.1016/j.ecolind.2021.107601&lt;/electronic-resource-num&gt;&lt;/record&gt;&lt;/Cite&gt;&lt;/EndNote&gt;</w:instrText>
      </w:r>
      <w:r w:rsidR="00B1437D">
        <w:fldChar w:fldCharType="separate"/>
      </w:r>
      <w:r w:rsidR="00B1437D">
        <w:rPr>
          <w:noProof/>
        </w:rPr>
        <w:t>(Rowland et al., 2021)</w:t>
      </w:r>
      <w:r w:rsidR="00B1437D">
        <w:fldChar w:fldCharType="end"/>
      </w:r>
      <w:r w:rsidR="0009540C" w:rsidRPr="003C6EFE">
        <w:t>.</w:t>
      </w:r>
      <w:r w:rsidR="0009540C">
        <w:t xml:space="preserve">  Therefore, a</w:t>
      </w:r>
      <w:r w:rsidR="0009540C" w:rsidRPr="003C6EFE">
        <w:t xml:space="preserve">n extension of WRTDS (WRTDS-Kalman, or WRTDS-K) was used to fill missing daily values and calculate </w:t>
      </w:r>
      <w:r w:rsidR="0009540C">
        <w:t xml:space="preserve">daily </w:t>
      </w:r>
      <w:r w:rsidR="0009540C" w:rsidRPr="003C6EFE">
        <w:t xml:space="preserve">estimates of the “actual” nutrient concentrations and loads. The “actual” concentrations and </w:t>
      </w:r>
      <w:r w:rsidR="0009540C">
        <w:t>fluxe</w:t>
      </w:r>
      <w:r w:rsidR="0009540C" w:rsidRPr="003C6EFE">
        <w:t xml:space="preserve">s were used to </w:t>
      </w:r>
      <w:r>
        <w:t xml:space="preserve">compare concentrations from before and after the nutrient regulations </w:t>
      </w:r>
      <w:r w:rsidR="0009540C">
        <w:t xml:space="preserve">and provide the reader with an idea of variability the actual annual flux values over the period. </w:t>
      </w:r>
    </w:p>
    <w:p w14:paraId="49EBC513" w14:textId="3D374031" w:rsidR="0009540C" w:rsidRDefault="005C39B1" w:rsidP="0009540C">
      <w:pPr>
        <w:ind w:firstLine="720"/>
      </w:pPr>
      <w:r>
        <w:t>To investigate changes in SRP, TP, and TSS before and after the Ohio regulations were implemented in 2015, we</w:t>
      </w:r>
      <w:r w:rsidR="00B1437D">
        <w:t xml:space="preserve"> calculated flow-weighted</w:t>
      </w:r>
      <w:r>
        <w:t xml:space="preserve"> mean</w:t>
      </w:r>
      <w:r w:rsidR="00B1437D">
        <w:t xml:space="preserve"> SRP</w:t>
      </w:r>
      <w:r>
        <w:t>,</w:t>
      </w:r>
      <w:r w:rsidR="00B1437D">
        <w:t xml:space="preserve"> TP</w:t>
      </w:r>
      <w:r>
        <w:t>, and TSS</w:t>
      </w:r>
      <w:r w:rsidR="00B1437D">
        <w:t xml:space="preserve"> concentrations for each site, period, and season</w:t>
      </w:r>
      <w:r>
        <w:t xml:space="preserve"> (Frozen, Thaw, Spring application, or Fall application). T</w:t>
      </w:r>
      <w:r w:rsidR="00B1437D">
        <w:t>hen, the values were compared pre- and post-regulation using percent change</w:t>
      </w:r>
      <w:r>
        <w:t xml:space="preserve"> in flow-weighted mean concentration</w:t>
      </w:r>
      <w:r w:rsidR="00B1437D">
        <w:t>.</w:t>
      </w:r>
    </w:p>
    <w:p w14:paraId="0B13A08D" w14:textId="791949C2" w:rsidR="00F21C60" w:rsidRDefault="005C39B1" w:rsidP="005C39B1">
      <w:pPr>
        <w:ind w:firstLine="720"/>
      </w:pPr>
      <w:r>
        <w:t>To evaluate trends in SRP, TP, and TSS since the baseline year, d</w:t>
      </w:r>
      <w:r w:rsidR="005E7D1F">
        <w:t>aily FN flux estimates were summarized into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r w:rsidR="00F21C60" w:rsidRPr="00C32B3F">
        <w:rPr>
          <w:i/>
          <w:iCs/>
        </w:rPr>
        <w:t>runPair</w:t>
      </w:r>
      <w:r w:rsidR="00C32B3F">
        <w:rPr>
          <w:i/>
          <w:iCs/>
        </w:rPr>
        <w:t>s</w:t>
      </w:r>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1A4F0BED" w:rsidR="00F21C60" w:rsidRDefault="00F21C60" w:rsidP="00F21C60">
      <w:pPr>
        <w:ind w:firstLine="720"/>
        <w:rPr>
          <w:rFonts w:eastAsiaTheme="minorEastAsia"/>
        </w:rPr>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76909CE1" w14:textId="28C693CF" w:rsidR="005C39B1" w:rsidRDefault="005C39B1" w:rsidP="005C39B1">
      <w:pPr>
        <w:ind w:firstLine="720"/>
        <w:rPr>
          <w:rFonts w:eastAsiaTheme="minorEastAsia"/>
        </w:rPr>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65893BAB" w14:textId="1A321442" w:rsidR="005C39B1" w:rsidRPr="005C39B1" w:rsidRDefault="005C39B1" w:rsidP="005C39B1">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6B25946F" w14:textId="77777777" w:rsidR="00733F31" w:rsidRDefault="0047363D" w:rsidP="00A6766B">
      <w:pPr>
        <w:ind w:firstLine="720"/>
        <w:rPr>
          <w:rFonts w:eastAsiaTheme="minorEastAsia"/>
        </w:rPr>
      </w:pPr>
      <w:r>
        <w:t>In addition to the trends in annual FN values from 200</w:t>
      </w:r>
      <w:r w:rsidR="005C39B1">
        <w:t>8</w:t>
      </w:r>
      <w:r>
        <w:t>-202</w:t>
      </w:r>
      <w:r w:rsidR="005C39B1">
        <w:t>2</w:t>
      </w:r>
      <w:r>
        <w:t>, annual SRP</w:t>
      </w:r>
      <w:r w:rsidR="005C39B1">
        <w:t>,</w:t>
      </w:r>
      <w:r>
        <w:t xml:space="preserve"> TP</w:t>
      </w:r>
      <w:r w:rsidR="005C39B1">
        <w:t>, and TSS</w:t>
      </w:r>
      <w:r>
        <w:t xml:space="preserve"> trends </w:t>
      </w:r>
      <w:r w:rsidR="006D594B">
        <w:t xml:space="preserve">in fluxes </w:t>
      </w:r>
      <w:r w:rsidR="003B11E5">
        <w:t xml:space="preserve">were </w:t>
      </w:r>
      <w:r>
        <w:t xml:space="preserve">also </w:t>
      </w:r>
      <w:r w:rsidR="001F4D6F">
        <w:t xml:space="preserve">estimated for the </w:t>
      </w:r>
      <w:r w:rsidR="003E477B">
        <w:t>periods of 200</w:t>
      </w:r>
      <w:r w:rsidR="005C39B1">
        <w:t>8</w:t>
      </w:r>
      <w:r w:rsidR="003E477B">
        <w:t>-2015 and</w:t>
      </w:r>
      <w:r w:rsidR="001F4D6F">
        <w:t xml:space="preserve"> 2015-2022</w:t>
      </w:r>
      <w:r w:rsidR="003E477B">
        <w:t xml:space="preserve"> and then compared</w:t>
      </w:r>
      <w:r w:rsidR="001F4D6F">
        <w:t xml:space="preserve">. </w:t>
      </w:r>
      <w:r w:rsidR="000C186C">
        <w:t>Comparing th</w:t>
      </w:r>
      <w:r w:rsidR="003E477B">
        <w:t xml:space="preserve">ese periods </w:t>
      </w:r>
      <w:r w:rsidR="000C186C">
        <w:t xml:space="preserve">has the potential to </w:t>
      </w:r>
      <w:r w:rsidR="005C39B1">
        <w:t>further elucidate the</w:t>
      </w:r>
      <w:r w:rsidR="000C186C">
        <w:t xml:space="preserve"> influence of </w:t>
      </w:r>
      <w:r w:rsidR="00C25BC8">
        <w:t xml:space="preserve">nutrient </w:t>
      </w:r>
      <w:r w:rsidR="00C25BC8">
        <w:lastRenderedPageBreak/>
        <w:t>reduction strategies</w:t>
      </w:r>
      <w:r w:rsidR="005C39B1">
        <w:t xml:space="preserve"> since the</w:t>
      </w:r>
      <w:r w:rsidR="000C186C">
        <w:t xml:space="preserve"> </w:t>
      </w:r>
      <w:r w:rsidR="003E477B">
        <w:t xml:space="preserve">2015 nutrient management </w:t>
      </w:r>
      <w:r w:rsidR="000C186C">
        <w:t>regulations</w:t>
      </w:r>
      <w:r w:rsidR="005C39B1">
        <w:t xml:space="preserve"> were implemented</w:t>
      </w:r>
      <w:r w:rsidR="000C186C">
        <w:t xml:space="preserve">.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A6766B" w:rsidRPr="007D01A0">
        <w:t xml:space="preserve">Seasonal trends were </w:t>
      </w:r>
      <w:r w:rsidR="00A6766B">
        <w:t>also estimated for both the longer-term and the two short-term periods for the Spring season (</w:t>
      </w:r>
      <w:r w:rsidR="00A6766B" w:rsidRPr="007D01A0">
        <w:t>March – July</w:t>
      </w:r>
      <w:r w:rsidR="00A6766B">
        <w:t xml:space="preserve">). </w:t>
      </w:r>
      <w:r w:rsidR="00A6766B" w:rsidRPr="007D01A0">
        <w:t xml:space="preserve">Spring was set for March 1 through July 31 because spring phosphorus loads have been found to correlate to the intensity of the HAB in the Western Lake Erie basin </w:t>
      </w:r>
      <w:r w:rsidR="00A6766B" w:rsidRPr="007D01A0">
        <w:fldChar w:fldCharType="begin"/>
      </w:r>
      <w:r w:rsidR="00A6766B"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A6766B" w:rsidRPr="007D01A0">
        <w:fldChar w:fldCharType="separate"/>
      </w:r>
      <w:r w:rsidR="00A6766B" w:rsidRPr="007D01A0">
        <w:rPr>
          <w:noProof/>
        </w:rPr>
        <w:t>(Annex 4, 2015)</w:t>
      </w:r>
      <w:r w:rsidR="00A6766B" w:rsidRPr="007D01A0">
        <w:fldChar w:fldCharType="end"/>
      </w:r>
      <w:r w:rsidR="00A6766B" w:rsidRPr="007D01A0">
        <w:t>.</w:t>
      </w:r>
      <w:r w:rsidR="00A6766B">
        <w:rPr>
          <w:rFonts w:eastAsiaTheme="minorEastAsia"/>
        </w:rPr>
        <w:t xml:space="preserve"> </w:t>
      </w:r>
    </w:p>
    <w:p w14:paraId="5DF48647" w14:textId="32B7D2C8" w:rsidR="00A774C4" w:rsidRPr="00733F31" w:rsidRDefault="00A774C4" w:rsidP="00733F31">
      <w:pPr>
        <w:ind w:firstLine="720"/>
        <w:rPr>
          <w:rFonts w:eastAsiaTheme="minorEastAsia"/>
        </w:rPr>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t xml:space="preserve"> </w:t>
      </w:r>
      <w:r>
        <w:fldChar w:fldCharType="begin"/>
      </w:r>
      <w:r>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fldChar w:fldCharType="separate"/>
      </w:r>
      <w:r>
        <w:rPr>
          <w:noProof/>
        </w:rPr>
        <w:t>(R Core Team, 2022)</w:t>
      </w:r>
      <w:r>
        <w:fldChar w:fldCharType="end"/>
      </w:r>
      <w:r w:rsidRPr="000C186C">
        <w:t>.</w:t>
      </w:r>
    </w:p>
    <w:p w14:paraId="0C7C64FC" w14:textId="0FA71B2D" w:rsidR="00001EA6" w:rsidRDefault="007E31AC" w:rsidP="0085588B">
      <w:pPr>
        <w:pStyle w:val="Heading1"/>
      </w:pPr>
      <w:r>
        <w:t>Results</w:t>
      </w:r>
    </w:p>
    <w:p w14:paraId="2956040C" w14:textId="3C893E12" w:rsidR="00235289" w:rsidRDefault="00235289" w:rsidP="001806AD">
      <w:pPr>
        <w:pStyle w:val="Heading2"/>
      </w:pPr>
      <w:r>
        <w:t>Frozen soil conditions</w:t>
      </w:r>
    </w:p>
    <w:p w14:paraId="3364D563" w14:textId="19EB988A" w:rsidR="00AE2698" w:rsidRDefault="001806AD" w:rsidP="00D77306">
      <w:pPr>
        <w:ind w:firstLine="576"/>
      </w:pPr>
      <w:r w:rsidRPr="001806AD">
        <w:t>The average soil frost-in period for winters from December 2008 through April 2022 was 74 days, with a minimum of 33 days and a maximum of 118 days. Frost in dates ranged from 24 November to 18 January and frost-out ranged from 22 December to 27 March. Notably, two winters (2019 and 2020) were split into two fro</w:t>
      </w:r>
      <w:r>
        <w:t>zen</w:t>
      </w:r>
      <w:r w:rsidRPr="001806AD">
        <w:t xml:space="preserve"> periods. When fro</w:t>
      </w:r>
      <w:r>
        <w:t>zen</w:t>
      </w:r>
      <w:r w:rsidRPr="001806AD">
        <w:t xml:space="preserve"> periods were split, the nonfrozen connecting period was set as a thaw period.</w:t>
      </w:r>
      <w:r w:rsidR="00D77306">
        <w:t xml:space="preserve"> </w:t>
      </w:r>
      <w:r>
        <w:t xml:space="preserve">The frozen period contained 660 days during the pre-regulation period and 455 days during the post-regulation period. The thaw period contained 208 days during the pre-regulation period and 217 days during the post-regulation period. The nonfrozen period </w:t>
      </w:r>
      <w:r w:rsidR="009008AF">
        <w:t xml:space="preserve">(spring and fall) </w:t>
      </w:r>
      <w:r>
        <w:t>contained 1964 days during the pre-regulation period and 1975 days during the post-regulation period.</w:t>
      </w:r>
    </w:p>
    <w:p w14:paraId="2A918813" w14:textId="5A940C98" w:rsidR="00E17422" w:rsidRDefault="002A2D65" w:rsidP="00E17422">
      <w:pPr>
        <w:ind w:firstLine="576"/>
      </w:pPr>
      <w:r>
        <w:lastRenderedPageBreak/>
        <w:t xml:space="preserve">Across sites, the thaw season generally contained the highest daily flows and was followed by the </w:t>
      </w:r>
      <w:r w:rsidR="009008AF">
        <w:t xml:space="preserve">spring, </w:t>
      </w:r>
      <w:r>
        <w:t>frozen</w:t>
      </w:r>
      <w:r w:rsidR="009008AF">
        <w:t>,</w:t>
      </w:r>
      <w:r>
        <w:t xml:space="preserve"> and </w:t>
      </w:r>
      <w:r w:rsidR="009008AF">
        <w:t>fall</w:t>
      </w:r>
      <w:r>
        <w:t xml:space="preserve"> seasons in descending order (Table 2). Although the thaw season contained the highest daily flows, the short time of thawing resulted in the thaw containing the lowest percentage of the total water volume released during both the pre</w:t>
      </w:r>
      <w:r w:rsidR="009008AF">
        <w:t>-</w:t>
      </w:r>
      <w:r>
        <w:t xml:space="preserve"> and post-regulation periods (Table 2).</w:t>
      </w:r>
      <w:r w:rsidR="00244300">
        <w:t xml:space="preserve"> </w:t>
      </w:r>
      <w:r w:rsidR="009008AF">
        <w:t>Meanwhile, the</w:t>
      </w:r>
      <w:r>
        <w:t xml:space="preserve"> </w:t>
      </w:r>
      <w:r w:rsidR="009008AF">
        <w:t>spring</w:t>
      </w:r>
      <w:r>
        <w:t xml:space="preserve"> season contained the highest percentage of </w:t>
      </w:r>
      <w:r w:rsidR="00244300">
        <w:t xml:space="preserve">water volume. On average, the thaw, frozen, </w:t>
      </w:r>
      <w:r w:rsidR="00726B6B">
        <w:t>spring, and fall</w:t>
      </w:r>
      <w:r w:rsidR="00244300">
        <w:t xml:space="preserve"> seasons contained 17, 23, </w:t>
      </w:r>
      <w:r w:rsidR="009008AF">
        <w:t>36, and 24</w:t>
      </w:r>
      <w:r w:rsidR="00244300">
        <w:t xml:space="preserve"> % of the water volume released from the four watersheds.</w:t>
      </w:r>
      <w:r w:rsidR="00522578">
        <w:t xml:space="preserve"> </w:t>
      </w:r>
    </w:p>
    <w:p w14:paraId="670EB24D" w14:textId="41C7A2ED" w:rsidR="00E17422" w:rsidRPr="00AE2698" w:rsidRDefault="00E17422" w:rsidP="00E17422">
      <w:pPr>
        <w:pStyle w:val="Caption"/>
      </w:pPr>
      <w:r>
        <w:t xml:space="preserve">Table 2: </w:t>
      </w:r>
      <w:r w:rsidR="00621FF3">
        <w:t>Summary of daily flows for each site, season, and period combination including mean daily discharge (cms) and percentage of stream discharge released within each season and period (%).</w:t>
      </w:r>
    </w:p>
    <w:tbl>
      <w:tblPr>
        <w:tblW w:w="6869" w:type="dxa"/>
        <w:jc w:val="center"/>
        <w:tblLook w:val="04A0" w:firstRow="1" w:lastRow="0" w:firstColumn="1" w:lastColumn="0" w:noHBand="0" w:noVBand="1"/>
      </w:tblPr>
      <w:tblGrid>
        <w:gridCol w:w="1114"/>
        <w:gridCol w:w="1136"/>
        <w:gridCol w:w="1080"/>
        <w:gridCol w:w="1170"/>
        <w:gridCol w:w="1481"/>
        <w:gridCol w:w="888"/>
      </w:tblGrid>
      <w:tr w:rsidR="002A2D65" w:rsidRPr="002A2D65" w14:paraId="273F37F7" w14:textId="77777777" w:rsidTr="002A2D65">
        <w:trPr>
          <w:trHeight w:val="256"/>
          <w:jc w:val="center"/>
        </w:trPr>
        <w:tc>
          <w:tcPr>
            <w:tcW w:w="1114" w:type="dxa"/>
            <w:vMerge w:val="restart"/>
            <w:tcBorders>
              <w:top w:val="single" w:sz="4" w:space="0" w:color="auto"/>
              <w:left w:val="nil"/>
              <w:right w:val="nil"/>
            </w:tcBorders>
            <w:shd w:val="clear" w:color="auto" w:fill="auto"/>
            <w:vAlign w:val="center"/>
            <w:hideMark/>
          </w:tcPr>
          <w:p w14:paraId="7B9BE6D7" w14:textId="06EA2C6D" w:rsidR="002A2D65" w:rsidRPr="002A2D65" w:rsidRDefault="002A2D65" w:rsidP="000D1E30">
            <w:pPr>
              <w:spacing w:after="0" w:line="240" w:lineRule="auto"/>
              <w:jc w:val="center"/>
              <w:rPr>
                <w:rFonts w:eastAsia="Times New Roman" w:cs="Times New Roman"/>
                <w:sz w:val="20"/>
                <w:szCs w:val="20"/>
              </w:rPr>
            </w:pPr>
            <w:r w:rsidRPr="002A2D65">
              <w:rPr>
                <w:rFonts w:eastAsia="Times New Roman" w:cs="Times New Roman"/>
                <w:color w:val="000000"/>
                <w:sz w:val="20"/>
                <w:szCs w:val="20"/>
              </w:rPr>
              <w:t>Site</w:t>
            </w:r>
          </w:p>
        </w:tc>
        <w:tc>
          <w:tcPr>
            <w:tcW w:w="1136" w:type="dxa"/>
            <w:vMerge w:val="restart"/>
            <w:tcBorders>
              <w:top w:val="single" w:sz="4" w:space="0" w:color="auto"/>
              <w:left w:val="nil"/>
              <w:right w:val="nil"/>
            </w:tcBorders>
            <w:shd w:val="clear" w:color="auto" w:fill="auto"/>
            <w:vAlign w:val="center"/>
            <w:hideMark/>
          </w:tcPr>
          <w:p w14:paraId="26F3C23A" w14:textId="645EA075" w:rsidR="002A2D65" w:rsidRPr="002A2D65" w:rsidRDefault="002A2D65" w:rsidP="000D1E30">
            <w:pPr>
              <w:spacing w:after="0" w:line="240" w:lineRule="auto"/>
              <w:jc w:val="center"/>
              <w:rPr>
                <w:rFonts w:eastAsia="Times New Roman" w:cs="Times New Roman"/>
                <w:sz w:val="20"/>
                <w:szCs w:val="20"/>
              </w:rPr>
            </w:pPr>
            <w:r>
              <w:rPr>
                <w:rFonts w:eastAsia="Times New Roman" w:cs="Times New Roman"/>
                <w:color w:val="000000"/>
                <w:sz w:val="20"/>
                <w:szCs w:val="20"/>
              </w:rPr>
              <w:t>S</w:t>
            </w:r>
            <w:r w:rsidRPr="002A2D65">
              <w:rPr>
                <w:rFonts w:eastAsia="Times New Roman" w:cs="Times New Roman"/>
                <w:color w:val="000000"/>
                <w:sz w:val="20"/>
                <w:szCs w:val="20"/>
              </w:rPr>
              <w:t>eason</w:t>
            </w:r>
          </w:p>
        </w:tc>
        <w:tc>
          <w:tcPr>
            <w:tcW w:w="2250" w:type="dxa"/>
            <w:gridSpan w:val="2"/>
            <w:tcBorders>
              <w:top w:val="single" w:sz="4" w:space="0" w:color="auto"/>
              <w:left w:val="nil"/>
              <w:bottom w:val="single" w:sz="4" w:space="0" w:color="auto"/>
              <w:right w:val="nil"/>
            </w:tcBorders>
            <w:shd w:val="clear" w:color="auto" w:fill="auto"/>
            <w:vAlign w:val="center"/>
            <w:hideMark/>
          </w:tcPr>
          <w:p w14:paraId="6A9B58AA" w14:textId="54A61BE2"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sz w:val="20"/>
                <w:szCs w:val="20"/>
              </w:rPr>
              <w:t>Mean daily flow (cms)</w:t>
            </w:r>
          </w:p>
        </w:tc>
        <w:tc>
          <w:tcPr>
            <w:tcW w:w="2369" w:type="dxa"/>
            <w:gridSpan w:val="2"/>
            <w:tcBorders>
              <w:top w:val="single" w:sz="4" w:space="0" w:color="auto"/>
              <w:left w:val="nil"/>
              <w:bottom w:val="single" w:sz="4" w:space="0" w:color="auto"/>
              <w:right w:val="nil"/>
            </w:tcBorders>
            <w:shd w:val="clear" w:color="auto" w:fill="auto"/>
            <w:vAlign w:val="center"/>
            <w:hideMark/>
          </w:tcPr>
          <w:p w14:paraId="48176893" w14:textId="35C23BD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Percent of total water volume released (%)</w:t>
            </w:r>
          </w:p>
        </w:tc>
      </w:tr>
      <w:tr w:rsidR="002A2D65" w:rsidRPr="002A2D65" w14:paraId="3A3D21DC" w14:textId="77777777" w:rsidTr="007A77D0">
        <w:trPr>
          <w:trHeight w:val="514"/>
          <w:jc w:val="center"/>
        </w:trPr>
        <w:tc>
          <w:tcPr>
            <w:tcW w:w="1114" w:type="dxa"/>
            <w:vMerge/>
            <w:tcBorders>
              <w:left w:val="nil"/>
              <w:bottom w:val="single" w:sz="4" w:space="0" w:color="auto"/>
              <w:right w:val="nil"/>
            </w:tcBorders>
            <w:shd w:val="clear" w:color="auto" w:fill="auto"/>
            <w:vAlign w:val="center"/>
            <w:hideMark/>
          </w:tcPr>
          <w:p w14:paraId="3F52CB15" w14:textId="0AC3BC78" w:rsidR="002A2D65" w:rsidRPr="002A2D65" w:rsidRDefault="002A2D65" w:rsidP="000D1E30">
            <w:pPr>
              <w:spacing w:after="0" w:line="240" w:lineRule="auto"/>
              <w:jc w:val="center"/>
              <w:rPr>
                <w:rFonts w:eastAsia="Times New Roman" w:cs="Times New Roman"/>
                <w:color w:val="000000"/>
                <w:sz w:val="20"/>
                <w:szCs w:val="20"/>
              </w:rPr>
            </w:pPr>
          </w:p>
        </w:tc>
        <w:tc>
          <w:tcPr>
            <w:tcW w:w="1136" w:type="dxa"/>
            <w:vMerge/>
            <w:tcBorders>
              <w:left w:val="nil"/>
              <w:bottom w:val="single" w:sz="4" w:space="0" w:color="auto"/>
              <w:right w:val="nil"/>
            </w:tcBorders>
            <w:shd w:val="clear" w:color="auto" w:fill="auto"/>
            <w:vAlign w:val="center"/>
            <w:hideMark/>
          </w:tcPr>
          <w:p w14:paraId="6645CD7D" w14:textId="2C292ED9" w:rsidR="002A2D65" w:rsidRPr="002A2D65" w:rsidRDefault="002A2D65" w:rsidP="000D1E30">
            <w:pPr>
              <w:spacing w:after="0" w:line="240" w:lineRule="auto"/>
              <w:jc w:val="center"/>
              <w:rPr>
                <w:rFonts w:eastAsia="Times New Roman" w:cs="Times New Roman"/>
                <w:color w:val="000000"/>
                <w:sz w:val="20"/>
                <w:szCs w:val="20"/>
              </w:rPr>
            </w:pPr>
          </w:p>
        </w:tc>
        <w:tc>
          <w:tcPr>
            <w:tcW w:w="1080" w:type="dxa"/>
            <w:tcBorders>
              <w:top w:val="single" w:sz="4" w:space="0" w:color="auto"/>
              <w:left w:val="nil"/>
              <w:bottom w:val="single" w:sz="4" w:space="0" w:color="auto"/>
              <w:right w:val="nil"/>
            </w:tcBorders>
            <w:shd w:val="clear" w:color="auto" w:fill="auto"/>
            <w:vAlign w:val="center"/>
            <w:hideMark/>
          </w:tcPr>
          <w:p w14:paraId="1EE9294D"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pre</w:t>
            </w:r>
          </w:p>
        </w:tc>
        <w:tc>
          <w:tcPr>
            <w:tcW w:w="1170" w:type="dxa"/>
            <w:tcBorders>
              <w:top w:val="single" w:sz="4" w:space="0" w:color="auto"/>
              <w:left w:val="nil"/>
              <w:bottom w:val="single" w:sz="4" w:space="0" w:color="auto"/>
              <w:right w:val="nil"/>
            </w:tcBorders>
            <w:shd w:val="clear" w:color="auto" w:fill="auto"/>
            <w:vAlign w:val="center"/>
            <w:hideMark/>
          </w:tcPr>
          <w:p w14:paraId="71E2303C"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post</w:t>
            </w:r>
          </w:p>
        </w:tc>
        <w:tc>
          <w:tcPr>
            <w:tcW w:w="1481" w:type="dxa"/>
            <w:tcBorders>
              <w:top w:val="single" w:sz="4" w:space="0" w:color="auto"/>
              <w:left w:val="nil"/>
              <w:bottom w:val="single" w:sz="4" w:space="0" w:color="auto"/>
              <w:right w:val="nil"/>
            </w:tcBorders>
            <w:shd w:val="clear" w:color="auto" w:fill="auto"/>
            <w:vAlign w:val="center"/>
            <w:hideMark/>
          </w:tcPr>
          <w:p w14:paraId="69399C32"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pre</w:t>
            </w:r>
          </w:p>
        </w:tc>
        <w:tc>
          <w:tcPr>
            <w:tcW w:w="888" w:type="dxa"/>
            <w:tcBorders>
              <w:top w:val="single" w:sz="4" w:space="0" w:color="auto"/>
              <w:left w:val="nil"/>
              <w:bottom w:val="single" w:sz="4" w:space="0" w:color="auto"/>
              <w:right w:val="nil"/>
            </w:tcBorders>
            <w:shd w:val="clear" w:color="auto" w:fill="auto"/>
            <w:vAlign w:val="center"/>
            <w:hideMark/>
          </w:tcPr>
          <w:p w14:paraId="622A24E5"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post</w:t>
            </w:r>
          </w:p>
        </w:tc>
      </w:tr>
      <w:tr w:rsidR="00726B6B" w:rsidRPr="002A2D65" w14:paraId="0B3D4DAC"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5648C026"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Tiffin</w:t>
            </w:r>
          </w:p>
        </w:tc>
        <w:tc>
          <w:tcPr>
            <w:tcW w:w="1136" w:type="dxa"/>
            <w:tcBorders>
              <w:top w:val="single" w:sz="4" w:space="0" w:color="auto"/>
              <w:left w:val="nil"/>
              <w:bottom w:val="nil"/>
              <w:right w:val="nil"/>
            </w:tcBorders>
            <w:shd w:val="clear" w:color="auto" w:fill="auto"/>
            <w:noWrap/>
            <w:vAlign w:val="center"/>
            <w:hideMark/>
          </w:tcPr>
          <w:p w14:paraId="400059BB" w14:textId="3218AE6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687F324C" w14:textId="4E151A7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14</w:t>
            </w:r>
          </w:p>
        </w:tc>
        <w:tc>
          <w:tcPr>
            <w:tcW w:w="1170" w:type="dxa"/>
            <w:tcBorders>
              <w:top w:val="single" w:sz="4" w:space="0" w:color="auto"/>
              <w:left w:val="nil"/>
              <w:bottom w:val="nil"/>
              <w:right w:val="nil"/>
            </w:tcBorders>
            <w:shd w:val="clear" w:color="auto" w:fill="auto"/>
            <w:noWrap/>
            <w:vAlign w:val="bottom"/>
          </w:tcPr>
          <w:p w14:paraId="72B985DE" w14:textId="47730AB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11</w:t>
            </w:r>
          </w:p>
        </w:tc>
        <w:tc>
          <w:tcPr>
            <w:tcW w:w="1481" w:type="dxa"/>
            <w:tcBorders>
              <w:top w:val="single" w:sz="4" w:space="0" w:color="auto"/>
              <w:left w:val="nil"/>
              <w:bottom w:val="nil"/>
              <w:right w:val="nil"/>
            </w:tcBorders>
            <w:shd w:val="clear" w:color="auto" w:fill="auto"/>
            <w:noWrap/>
            <w:vAlign w:val="bottom"/>
          </w:tcPr>
          <w:p w14:paraId="1C3F9CC7" w14:textId="7FA2B19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888" w:type="dxa"/>
            <w:tcBorders>
              <w:top w:val="single" w:sz="4" w:space="0" w:color="auto"/>
              <w:left w:val="nil"/>
              <w:bottom w:val="nil"/>
              <w:right w:val="nil"/>
            </w:tcBorders>
            <w:shd w:val="clear" w:color="auto" w:fill="auto"/>
            <w:noWrap/>
            <w:vAlign w:val="bottom"/>
          </w:tcPr>
          <w:p w14:paraId="4F6E4B2B" w14:textId="3AA09C4F"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17</w:t>
            </w:r>
          </w:p>
        </w:tc>
      </w:tr>
      <w:tr w:rsidR="00726B6B" w:rsidRPr="002A2D65" w14:paraId="3275B113" w14:textId="77777777" w:rsidTr="00AE2698">
        <w:trPr>
          <w:trHeight w:val="256"/>
          <w:jc w:val="center"/>
        </w:trPr>
        <w:tc>
          <w:tcPr>
            <w:tcW w:w="1114" w:type="dxa"/>
            <w:tcBorders>
              <w:top w:val="nil"/>
              <w:left w:val="nil"/>
              <w:bottom w:val="nil"/>
              <w:right w:val="nil"/>
            </w:tcBorders>
            <w:shd w:val="clear" w:color="auto" w:fill="auto"/>
            <w:vAlign w:val="center"/>
            <w:hideMark/>
          </w:tcPr>
          <w:p w14:paraId="49D968D8"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34980A80" w14:textId="04FEB031"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bottom w:val="nil"/>
              <w:right w:val="nil"/>
            </w:tcBorders>
            <w:shd w:val="clear" w:color="auto" w:fill="auto"/>
            <w:noWrap/>
            <w:vAlign w:val="bottom"/>
          </w:tcPr>
          <w:p w14:paraId="47D796C8" w14:textId="1AA5785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30</w:t>
            </w:r>
          </w:p>
        </w:tc>
        <w:tc>
          <w:tcPr>
            <w:tcW w:w="1170" w:type="dxa"/>
            <w:tcBorders>
              <w:top w:val="nil"/>
              <w:left w:val="nil"/>
              <w:bottom w:val="nil"/>
              <w:right w:val="nil"/>
            </w:tcBorders>
            <w:shd w:val="clear" w:color="auto" w:fill="auto"/>
            <w:noWrap/>
            <w:vAlign w:val="bottom"/>
          </w:tcPr>
          <w:p w14:paraId="34C05F08" w14:textId="236F234A"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23</w:t>
            </w:r>
          </w:p>
        </w:tc>
        <w:tc>
          <w:tcPr>
            <w:tcW w:w="1481" w:type="dxa"/>
            <w:tcBorders>
              <w:top w:val="nil"/>
              <w:left w:val="nil"/>
              <w:bottom w:val="nil"/>
              <w:right w:val="nil"/>
            </w:tcBorders>
            <w:shd w:val="clear" w:color="auto" w:fill="auto"/>
            <w:noWrap/>
            <w:vAlign w:val="bottom"/>
          </w:tcPr>
          <w:p w14:paraId="575EC260" w14:textId="1F84838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bottom w:val="nil"/>
              <w:right w:val="nil"/>
            </w:tcBorders>
            <w:shd w:val="clear" w:color="auto" w:fill="auto"/>
            <w:noWrap/>
            <w:vAlign w:val="bottom"/>
          </w:tcPr>
          <w:p w14:paraId="6953CD6A" w14:textId="3E9955A5"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16</w:t>
            </w:r>
          </w:p>
        </w:tc>
      </w:tr>
      <w:tr w:rsidR="00726B6B" w:rsidRPr="002A2D65" w14:paraId="3BD9F70C" w14:textId="77777777" w:rsidTr="00726B6B">
        <w:trPr>
          <w:trHeight w:val="256"/>
          <w:jc w:val="center"/>
        </w:trPr>
        <w:tc>
          <w:tcPr>
            <w:tcW w:w="1114" w:type="dxa"/>
            <w:tcBorders>
              <w:top w:val="nil"/>
              <w:left w:val="nil"/>
              <w:right w:val="nil"/>
            </w:tcBorders>
            <w:shd w:val="clear" w:color="auto" w:fill="auto"/>
            <w:vAlign w:val="center"/>
            <w:hideMark/>
          </w:tcPr>
          <w:p w14:paraId="6816FEFD"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55412EFD" w14:textId="2C4342F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noWrap/>
            <w:vAlign w:val="bottom"/>
          </w:tcPr>
          <w:p w14:paraId="40B47C26" w14:textId="68C13F4A"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15</w:t>
            </w:r>
          </w:p>
        </w:tc>
        <w:tc>
          <w:tcPr>
            <w:tcW w:w="1170" w:type="dxa"/>
            <w:tcBorders>
              <w:top w:val="nil"/>
              <w:left w:val="nil"/>
              <w:right w:val="nil"/>
            </w:tcBorders>
            <w:shd w:val="clear" w:color="auto" w:fill="auto"/>
            <w:noWrap/>
            <w:vAlign w:val="bottom"/>
          </w:tcPr>
          <w:p w14:paraId="670B8848" w14:textId="0A76EB3E"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w:t>
            </w:r>
            <w:r>
              <w:rPr>
                <w:rFonts w:cs="Times New Roman"/>
                <w:color w:val="000000"/>
                <w:sz w:val="20"/>
                <w:szCs w:val="20"/>
              </w:rPr>
              <w:t>7</w:t>
            </w:r>
          </w:p>
        </w:tc>
        <w:tc>
          <w:tcPr>
            <w:tcW w:w="1481" w:type="dxa"/>
            <w:tcBorders>
              <w:top w:val="nil"/>
              <w:left w:val="nil"/>
              <w:right w:val="nil"/>
            </w:tcBorders>
            <w:shd w:val="clear" w:color="auto" w:fill="auto"/>
            <w:noWrap/>
            <w:vAlign w:val="bottom"/>
          </w:tcPr>
          <w:p w14:paraId="5B9BA2D6" w14:textId="084A3DBF"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888" w:type="dxa"/>
            <w:tcBorders>
              <w:top w:val="nil"/>
              <w:left w:val="nil"/>
              <w:right w:val="nil"/>
            </w:tcBorders>
            <w:shd w:val="clear" w:color="auto" w:fill="auto"/>
            <w:noWrap/>
            <w:vAlign w:val="bottom"/>
          </w:tcPr>
          <w:p w14:paraId="7CC2E041" w14:textId="43E075D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39</w:t>
            </w:r>
          </w:p>
        </w:tc>
      </w:tr>
      <w:tr w:rsidR="00726B6B" w:rsidRPr="002A2D65" w14:paraId="65E6D4FD" w14:textId="77777777" w:rsidTr="00726B6B">
        <w:trPr>
          <w:trHeight w:val="256"/>
          <w:jc w:val="center"/>
        </w:trPr>
        <w:tc>
          <w:tcPr>
            <w:tcW w:w="1114" w:type="dxa"/>
            <w:tcBorders>
              <w:top w:val="nil"/>
              <w:left w:val="nil"/>
              <w:bottom w:val="single" w:sz="4" w:space="0" w:color="auto"/>
              <w:right w:val="nil"/>
            </w:tcBorders>
            <w:shd w:val="clear" w:color="auto" w:fill="auto"/>
            <w:vAlign w:val="center"/>
          </w:tcPr>
          <w:p w14:paraId="04E77088"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single" w:sz="4" w:space="0" w:color="auto"/>
              <w:right w:val="nil"/>
            </w:tcBorders>
            <w:shd w:val="clear" w:color="auto" w:fill="auto"/>
            <w:noWrap/>
            <w:vAlign w:val="center"/>
          </w:tcPr>
          <w:p w14:paraId="3DD4C914" w14:textId="2849AC23"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top w:val="nil"/>
              <w:left w:val="nil"/>
              <w:bottom w:val="single" w:sz="4" w:space="0" w:color="auto"/>
              <w:right w:val="nil"/>
            </w:tcBorders>
            <w:shd w:val="clear" w:color="auto" w:fill="auto"/>
            <w:noWrap/>
            <w:vAlign w:val="bottom"/>
          </w:tcPr>
          <w:p w14:paraId="2732DC88" w14:textId="6F38649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5</w:t>
            </w:r>
          </w:p>
        </w:tc>
        <w:tc>
          <w:tcPr>
            <w:tcW w:w="1170" w:type="dxa"/>
            <w:tcBorders>
              <w:top w:val="nil"/>
              <w:left w:val="nil"/>
              <w:bottom w:val="single" w:sz="4" w:space="0" w:color="auto"/>
              <w:right w:val="nil"/>
            </w:tcBorders>
            <w:shd w:val="clear" w:color="auto" w:fill="auto"/>
            <w:noWrap/>
            <w:vAlign w:val="bottom"/>
          </w:tcPr>
          <w:p w14:paraId="65432632" w14:textId="1FE3D33F"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7</w:t>
            </w:r>
          </w:p>
        </w:tc>
        <w:tc>
          <w:tcPr>
            <w:tcW w:w="1481" w:type="dxa"/>
            <w:tcBorders>
              <w:top w:val="nil"/>
              <w:left w:val="nil"/>
              <w:bottom w:val="single" w:sz="4" w:space="0" w:color="auto"/>
              <w:right w:val="nil"/>
            </w:tcBorders>
            <w:shd w:val="clear" w:color="auto" w:fill="auto"/>
            <w:noWrap/>
            <w:vAlign w:val="bottom"/>
          </w:tcPr>
          <w:p w14:paraId="5C1D2F5E" w14:textId="0236A9AC"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18</w:t>
            </w:r>
          </w:p>
        </w:tc>
        <w:tc>
          <w:tcPr>
            <w:tcW w:w="888" w:type="dxa"/>
            <w:tcBorders>
              <w:top w:val="nil"/>
              <w:left w:val="nil"/>
              <w:bottom w:val="single" w:sz="4" w:space="0" w:color="auto"/>
              <w:right w:val="nil"/>
            </w:tcBorders>
            <w:shd w:val="clear" w:color="auto" w:fill="auto"/>
            <w:noWrap/>
            <w:vAlign w:val="bottom"/>
          </w:tcPr>
          <w:p w14:paraId="66AF15DE" w14:textId="0208B91C"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28</w:t>
            </w:r>
          </w:p>
        </w:tc>
      </w:tr>
      <w:tr w:rsidR="00726B6B" w:rsidRPr="002A2D65" w14:paraId="16BFC5DA" w14:textId="77777777" w:rsidTr="00726B6B">
        <w:trPr>
          <w:trHeight w:val="256"/>
          <w:jc w:val="center"/>
        </w:trPr>
        <w:tc>
          <w:tcPr>
            <w:tcW w:w="1114" w:type="dxa"/>
            <w:tcBorders>
              <w:top w:val="single" w:sz="4" w:space="0" w:color="auto"/>
              <w:left w:val="nil"/>
              <w:bottom w:val="nil"/>
              <w:right w:val="nil"/>
            </w:tcBorders>
            <w:shd w:val="clear" w:color="auto" w:fill="auto"/>
            <w:vAlign w:val="center"/>
            <w:hideMark/>
          </w:tcPr>
          <w:p w14:paraId="33E74986"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Blanchard</w:t>
            </w:r>
          </w:p>
        </w:tc>
        <w:tc>
          <w:tcPr>
            <w:tcW w:w="1136" w:type="dxa"/>
            <w:tcBorders>
              <w:top w:val="single" w:sz="4" w:space="0" w:color="auto"/>
              <w:left w:val="nil"/>
              <w:bottom w:val="nil"/>
              <w:right w:val="nil"/>
            </w:tcBorders>
            <w:shd w:val="clear" w:color="auto" w:fill="auto"/>
            <w:noWrap/>
            <w:vAlign w:val="center"/>
            <w:hideMark/>
          </w:tcPr>
          <w:p w14:paraId="4AFC5C11" w14:textId="225CBE5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4E64CF77" w14:textId="1C67EBD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12</w:t>
            </w:r>
          </w:p>
        </w:tc>
        <w:tc>
          <w:tcPr>
            <w:tcW w:w="1170" w:type="dxa"/>
            <w:tcBorders>
              <w:top w:val="single" w:sz="4" w:space="0" w:color="auto"/>
              <w:left w:val="nil"/>
              <w:bottom w:val="nil"/>
              <w:right w:val="nil"/>
            </w:tcBorders>
            <w:shd w:val="clear" w:color="auto" w:fill="auto"/>
            <w:noWrap/>
            <w:vAlign w:val="bottom"/>
          </w:tcPr>
          <w:p w14:paraId="0C77F987" w14:textId="3C3FE5F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12</w:t>
            </w:r>
          </w:p>
        </w:tc>
        <w:tc>
          <w:tcPr>
            <w:tcW w:w="1481" w:type="dxa"/>
            <w:tcBorders>
              <w:top w:val="single" w:sz="4" w:space="0" w:color="auto"/>
              <w:left w:val="nil"/>
              <w:bottom w:val="nil"/>
              <w:right w:val="nil"/>
            </w:tcBorders>
            <w:shd w:val="clear" w:color="auto" w:fill="auto"/>
            <w:noWrap/>
            <w:vAlign w:val="bottom"/>
          </w:tcPr>
          <w:p w14:paraId="7B61CEC8" w14:textId="7A03CAB8"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27</w:t>
            </w:r>
          </w:p>
        </w:tc>
        <w:tc>
          <w:tcPr>
            <w:tcW w:w="888" w:type="dxa"/>
            <w:tcBorders>
              <w:top w:val="single" w:sz="4" w:space="0" w:color="auto"/>
              <w:left w:val="nil"/>
              <w:bottom w:val="nil"/>
              <w:right w:val="nil"/>
            </w:tcBorders>
            <w:shd w:val="clear" w:color="auto" w:fill="auto"/>
            <w:noWrap/>
            <w:vAlign w:val="bottom"/>
          </w:tcPr>
          <w:p w14:paraId="7246C591" w14:textId="311CDC1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22</w:t>
            </w:r>
          </w:p>
        </w:tc>
      </w:tr>
      <w:tr w:rsidR="00726B6B" w:rsidRPr="002A2D65" w14:paraId="3D9ECC82" w14:textId="77777777" w:rsidTr="00726B6B">
        <w:trPr>
          <w:trHeight w:val="256"/>
          <w:jc w:val="center"/>
        </w:trPr>
        <w:tc>
          <w:tcPr>
            <w:tcW w:w="1114" w:type="dxa"/>
            <w:tcBorders>
              <w:top w:val="nil"/>
              <w:left w:val="nil"/>
              <w:right w:val="nil"/>
            </w:tcBorders>
            <w:shd w:val="clear" w:color="auto" w:fill="auto"/>
            <w:vAlign w:val="center"/>
            <w:hideMark/>
          </w:tcPr>
          <w:p w14:paraId="561602DA"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25784A0D" w14:textId="7EB09EB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right w:val="nil"/>
            </w:tcBorders>
            <w:shd w:val="clear" w:color="auto" w:fill="auto"/>
            <w:noWrap/>
            <w:vAlign w:val="bottom"/>
          </w:tcPr>
          <w:p w14:paraId="12BD9AEF" w14:textId="59CEA6F0"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27</w:t>
            </w:r>
          </w:p>
        </w:tc>
        <w:tc>
          <w:tcPr>
            <w:tcW w:w="1170" w:type="dxa"/>
            <w:tcBorders>
              <w:top w:val="nil"/>
              <w:left w:val="nil"/>
              <w:right w:val="nil"/>
            </w:tcBorders>
            <w:shd w:val="clear" w:color="auto" w:fill="auto"/>
            <w:noWrap/>
            <w:vAlign w:val="bottom"/>
          </w:tcPr>
          <w:p w14:paraId="0EED7DDF" w14:textId="7A65182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18</w:t>
            </w:r>
          </w:p>
        </w:tc>
        <w:tc>
          <w:tcPr>
            <w:tcW w:w="1481" w:type="dxa"/>
            <w:tcBorders>
              <w:top w:val="nil"/>
              <w:left w:val="nil"/>
              <w:right w:val="nil"/>
            </w:tcBorders>
            <w:shd w:val="clear" w:color="auto" w:fill="auto"/>
            <w:noWrap/>
            <w:vAlign w:val="bottom"/>
          </w:tcPr>
          <w:p w14:paraId="24D80F4A" w14:textId="7E84DE5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right w:val="nil"/>
            </w:tcBorders>
            <w:shd w:val="clear" w:color="auto" w:fill="auto"/>
            <w:noWrap/>
            <w:vAlign w:val="bottom"/>
          </w:tcPr>
          <w:p w14:paraId="0FCF5796" w14:textId="3B33716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15</w:t>
            </w:r>
          </w:p>
        </w:tc>
      </w:tr>
      <w:tr w:rsidR="00726B6B" w:rsidRPr="002A2D65" w14:paraId="2BF25358" w14:textId="77777777" w:rsidTr="00726B6B">
        <w:trPr>
          <w:trHeight w:val="256"/>
          <w:jc w:val="center"/>
        </w:trPr>
        <w:tc>
          <w:tcPr>
            <w:tcW w:w="1114" w:type="dxa"/>
            <w:tcBorders>
              <w:top w:val="nil"/>
              <w:left w:val="nil"/>
              <w:right w:val="nil"/>
            </w:tcBorders>
            <w:shd w:val="clear" w:color="auto" w:fill="auto"/>
            <w:vAlign w:val="center"/>
            <w:hideMark/>
          </w:tcPr>
          <w:p w14:paraId="10185C3D"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11974ECE" w14:textId="3C0E0EF0"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noWrap/>
            <w:vAlign w:val="bottom"/>
          </w:tcPr>
          <w:p w14:paraId="74B6E29D" w14:textId="6E8F9CAB"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12</w:t>
            </w:r>
          </w:p>
        </w:tc>
        <w:tc>
          <w:tcPr>
            <w:tcW w:w="1170" w:type="dxa"/>
            <w:tcBorders>
              <w:top w:val="nil"/>
              <w:left w:val="nil"/>
              <w:right w:val="nil"/>
            </w:tcBorders>
            <w:shd w:val="clear" w:color="auto" w:fill="auto"/>
            <w:noWrap/>
            <w:vAlign w:val="bottom"/>
          </w:tcPr>
          <w:p w14:paraId="2720A091" w14:textId="00546FA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w:t>
            </w:r>
          </w:p>
        </w:tc>
        <w:tc>
          <w:tcPr>
            <w:tcW w:w="1481" w:type="dxa"/>
            <w:tcBorders>
              <w:top w:val="nil"/>
              <w:left w:val="nil"/>
              <w:right w:val="nil"/>
            </w:tcBorders>
            <w:shd w:val="clear" w:color="auto" w:fill="auto"/>
            <w:noWrap/>
            <w:vAlign w:val="bottom"/>
          </w:tcPr>
          <w:p w14:paraId="428C357E" w14:textId="72C33B8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29</w:t>
            </w:r>
          </w:p>
        </w:tc>
        <w:tc>
          <w:tcPr>
            <w:tcW w:w="888" w:type="dxa"/>
            <w:tcBorders>
              <w:top w:val="nil"/>
              <w:left w:val="nil"/>
              <w:right w:val="nil"/>
            </w:tcBorders>
            <w:shd w:val="clear" w:color="auto" w:fill="auto"/>
            <w:noWrap/>
            <w:vAlign w:val="bottom"/>
          </w:tcPr>
          <w:p w14:paraId="17ED0BC0" w14:textId="660C4156"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37</w:t>
            </w:r>
          </w:p>
        </w:tc>
      </w:tr>
      <w:tr w:rsidR="00726B6B" w:rsidRPr="002A2D65" w14:paraId="1D79E17C" w14:textId="77777777" w:rsidTr="00726B6B">
        <w:trPr>
          <w:trHeight w:val="256"/>
          <w:jc w:val="center"/>
        </w:trPr>
        <w:tc>
          <w:tcPr>
            <w:tcW w:w="1114" w:type="dxa"/>
            <w:tcBorders>
              <w:left w:val="nil"/>
              <w:bottom w:val="single" w:sz="4" w:space="0" w:color="auto"/>
              <w:right w:val="nil"/>
            </w:tcBorders>
            <w:shd w:val="clear" w:color="auto" w:fill="auto"/>
            <w:vAlign w:val="center"/>
          </w:tcPr>
          <w:p w14:paraId="5DC24375"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left w:val="nil"/>
              <w:bottom w:val="single" w:sz="4" w:space="0" w:color="auto"/>
              <w:right w:val="nil"/>
            </w:tcBorders>
            <w:shd w:val="clear" w:color="auto" w:fill="auto"/>
            <w:noWrap/>
            <w:vAlign w:val="center"/>
          </w:tcPr>
          <w:p w14:paraId="00A2BB12" w14:textId="1FAD867B"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left w:val="nil"/>
              <w:bottom w:val="single" w:sz="4" w:space="0" w:color="auto"/>
              <w:right w:val="nil"/>
            </w:tcBorders>
            <w:shd w:val="clear" w:color="auto" w:fill="auto"/>
            <w:noWrap/>
            <w:vAlign w:val="bottom"/>
          </w:tcPr>
          <w:p w14:paraId="7DEF53AA" w14:textId="4B17E852"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6</w:t>
            </w:r>
          </w:p>
        </w:tc>
        <w:tc>
          <w:tcPr>
            <w:tcW w:w="1170" w:type="dxa"/>
            <w:tcBorders>
              <w:left w:val="nil"/>
              <w:bottom w:val="single" w:sz="4" w:space="0" w:color="auto"/>
              <w:right w:val="nil"/>
            </w:tcBorders>
            <w:shd w:val="clear" w:color="auto" w:fill="auto"/>
            <w:noWrap/>
            <w:vAlign w:val="bottom"/>
          </w:tcPr>
          <w:p w14:paraId="61698E74" w14:textId="4EF7C00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5</w:t>
            </w:r>
          </w:p>
        </w:tc>
        <w:tc>
          <w:tcPr>
            <w:tcW w:w="1481" w:type="dxa"/>
            <w:tcBorders>
              <w:left w:val="nil"/>
              <w:bottom w:val="single" w:sz="4" w:space="0" w:color="auto"/>
              <w:right w:val="nil"/>
            </w:tcBorders>
            <w:shd w:val="clear" w:color="auto" w:fill="auto"/>
            <w:noWrap/>
            <w:vAlign w:val="bottom"/>
          </w:tcPr>
          <w:p w14:paraId="298ADA86" w14:textId="7332EBAE"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25</w:t>
            </w:r>
          </w:p>
        </w:tc>
        <w:tc>
          <w:tcPr>
            <w:tcW w:w="888" w:type="dxa"/>
            <w:tcBorders>
              <w:left w:val="nil"/>
              <w:bottom w:val="single" w:sz="4" w:space="0" w:color="auto"/>
              <w:right w:val="nil"/>
            </w:tcBorders>
            <w:shd w:val="clear" w:color="auto" w:fill="auto"/>
            <w:noWrap/>
            <w:vAlign w:val="bottom"/>
          </w:tcPr>
          <w:p w14:paraId="4EEE0D1D" w14:textId="64CECC73"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26</w:t>
            </w:r>
          </w:p>
        </w:tc>
      </w:tr>
      <w:tr w:rsidR="00726B6B" w:rsidRPr="002A2D65" w14:paraId="4DDFC478"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0A7432FC"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Maumee</w:t>
            </w:r>
          </w:p>
        </w:tc>
        <w:tc>
          <w:tcPr>
            <w:tcW w:w="1136" w:type="dxa"/>
            <w:tcBorders>
              <w:top w:val="single" w:sz="4" w:space="0" w:color="auto"/>
              <w:left w:val="nil"/>
              <w:bottom w:val="nil"/>
              <w:right w:val="nil"/>
            </w:tcBorders>
            <w:shd w:val="clear" w:color="auto" w:fill="auto"/>
            <w:vAlign w:val="center"/>
            <w:hideMark/>
          </w:tcPr>
          <w:p w14:paraId="26D4A31F" w14:textId="2D7473A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vAlign w:val="bottom"/>
          </w:tcPr>
          <w:p w14:paraId="4682B13B" w14:textId="4863292F"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222</w:t>
            </w:r>
          </w:p>
        </w:tc>
        <w:tc>
          <w:tcPr>
            <w:tcW w:w="1170" w:type="dxa"/>
            <w:tcBorders>
              <w:top w:val="single" w:sz="4" w:space="0" w:color="auto"/>
              <w:left w:val="nil"/>
              <w:bottom w:val="nil"/>
              <w:right w:val="nil"/>
            </w:tcBorders>
            <w:shd w:val="clear" w:color="auto" w:fill="auto"/>
            <w:vAlign w:val="bottom"/>
          </w:tcPr>
          <w:p w14:paraId="1ED5FD87" w14:textId="36AF6C70"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218</w:t>
            </w:r>
          </w:p>
        </w:tc>
        <w:tc>
          <w:tcPr>
            <w:tcW w:w="1481" w:type="dxa"/>
            <w:tcBorders>
              <w:top w:val="single" w:sz="4" w:space="0" w:color="auto"/>
              <w:left w:val="nil"/>
              <w:bottom w:val="nil"/>
              <w:right w:val="nil"/>
            </w:tcBorders>
            <w:shd w:val="clear" w:color="auto" w:fill="auto"/>
            <w:vAlign w:val="bottom"/>
          </w:tcPr>
          <w:p w14:paraId="4E0CBCED" w14:textId="4DC3063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888" w:type="dxa"/>
            <w:tcBorders>
              <w:top w:val="single" w:sz="4" w:space="0" w:color="auto"/>
              <w:left w:val="nil"/>
              <w:bottom w:val="nil"/>
              <w:right w:val="nil"/>
            </w:tcBorders>
            <w:shd w:val="clear" w:color="auto" w:fill="auto"/>
            <w:vAlign w:val="bottom"/>
          </w:tcPr>
          <w:p w14:paraId="59B8C0F0" w14:textId="5943973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20</w:t>
            </w:r>
          </w:p>
        </w:tc>
      </w:tr>
      <w:tr w:rsidR="00726B6B" w:rsidRPr="002A2D65" w14:paraId="0271E5F2" w14:textId="77777777" w:rsidTr="00726B6B">
        <w:trPr>
          <w:trHeight w:val="256"/>
          <w:jc w:val="center"/>
        </w:trPr>
        <w:tc>
          <w:tcPr>
            <w:tcW w:w="1114" w:type="dxa"/>
            <w:tcBorders>
              <w:top w:val="nil"/>
              <w:left w:val="nil"/>
              <w:right w:val="nil"/>
            </w:tcBorders>
            <w:shd w:val="clear" w:color="auto" w:fill="auto"/>
            <w:vAlign w:val="center"/>
            <w:hideMark/>
          </w:tcPr>
          <w:p w14:paraId="1C81101B"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vAlign w:val="center"/>
            <w:hideMark/>
          </w:tcPr>
          <w:p w14:paraId="1E538D7D" w14:textId="2CD46EB1"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right w:val="nil"/>
            </w:tcBorders>
            <w:shd w:val="clear" w:color="auto" w:fill="auto"/>
            <w:vAlign w:val="bottom"/>
          </w:tcPr>
          <w:p w14:paraId="0667B84D" w14:textId="1F2FBE3A"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462</w:t>
            </w:r>
          </w:p>
        </w:tc>
        <w:tc>
          <w:tcPr>
            <w:tcW w:w="1170" w:type="dxa"/>
            <w:tcBorders>
              <w:top w:val="nil"/>
              <w:left w:val="nil"/>
              <w:right w:val="nil"/>
            </w:tcBorders>
            <w:shd w:val="clear" w:color="auto" w:fill="auto"/>
            <w:vAlign w:val="bottom"/>
          </w:tcPr>
          <w:p w14:paraId="541604D0" w14:textId="02DFC28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352</w:t>
            </w:r>
          </w:p>
        </w:tc>
        <w:tc>
          <w:tcPr>
            <w:tcW w:w="1481" w:type="dxa"/>
            <w:tcBorders>
              <w:top w:val="nil"/>
              <w:left w:val="nil"/>
              <w:right w:val="nil"/>
            </w:tcBorders>
            <w:shd w:val="clear" w:color="auto" w:fill="auto"/>
            <w:vAlign w:val="bottom"/>
          </w:tcPr>
          <w:p w14:paraId="47BE7770" w14:textId="4DD2967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18</w:t>
            </w:r>
          </w:p>
        </w:tc>
        <w:tc>
          <w:tcPr>
            <w:tcW w:w="888" w:type="dxa"/>
            <w:tcBorders>
              <w:top w:val="nil"/>
              <w:left w:val="nil"/>
              <w:right w:val="nil"/>
            </w:tcBorders>
            <w:shd w:val="clear" w:color="auto" w:fill="auto"/>
            <w:vAlign w:val="bottom"/>
          </w:tcPr>
          <w:p w14:paraId="70F8F1E8" w14:textId="110D91F8"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15</w:t>
            </w:r>
          </w:p>
        </w:tc>
      </w:tr>
      <w:tr w:rsidR="00726B6B" w:rsidRPr="002A2D65" w14:paraId="75148902" w14:textId="77777777" w:rsidTr="00726B6B">
        <w:trPr>
          <w:trHeight w:val="256"/>
          <w:jc w:val="center"/>
        </w:trPr>
        <w:tc>
          <w:tcPr>
            <w:tcW w:w="1114" w:type="dxa"/>
            <w:tcBorders>
              <w:top w:val="nil"/>
              <w:left w:val="nil"/>
              <w:right w:val="nil"/>
            </w:tcBorders>
            <w:shd w:val="clear" w:color="auto" w:fill="auto"/>
            <w:vAlign w:val="center"/>
            <w:hideMark/>
          </w:tcPr>
          <w:p w14:paraId="668F332E"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vAlign w:val="center"/>
            <w:hideMark/>
          </w:tcPr>
          <w:p w14:paraId="1EAB4EE1" w14:textId="6A64177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vAlign w:val="bottom"/>
          </w:tcPr>
          <w:p w14:paraId="2CFDCCD4" w14:textId="4E0F838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257</w:t>
            </w:r>
          </w:p>
        </w:tc>
        <w:tc>
          <w:tcPr>
            <w:tcW w:w="1170" w:type="dxa"/>
            <w:tcBorders>
              <w:top w:val="nil"/>
              <w:left w:val="nil"/>
              <w:right w:val="nil"/>
            </w:tcBorders>
            <w:shd w:val="clear" w:color="auto" w:fill="auto"/>
            <w:vAlign w:val="bottom"/>
          </w:tcPr>
          <w:p w14:paraId="1FA7B89C" w14:textId="5DB5AF0A"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275</w:t>
            </w:r>
          </w:p>
        </w:tc>
        <w:tc>
          <w:tcPr>
            <w:tcW w:w="1481" w:type="dxa"/>
            <w:tcBorders>
              <w:top w:val="nil"/>
              <w:left w:val="nil"/>
              <w:right w:val="nil"/>
            </w:tcBorders>
            <w:shd w:val="clear" w:color="auto" w:fill="auto"/>
            <w:vAlign w:val="bottom"/>
          </w:tcPr>
          <w:p w14:paraId="499E891A" w14:textId="0837F2D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36</w:t>
            </w:r>
          </w:p>
        </w:tc>
        <w:tc>
          <w:tcPr>
            <w:tcW w:w="888" w:type="dxa"/>
            <w:tcBorders>
              <w:top w:val="nil"/>
              <w:left w:val="nil"/>
              <w:right w:val="nil"/>
            </w:tcBorders>
            <w:shd w:val="clear" w:color="auto" w:fill="auto"/>
            <w:vAlign w:val="bottom"/>
          </w:tcPr>
          <w:p w14:paraId="61FE93CB" w14:textId="0BBCF73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38</w:t>
            </w:r>
          </w:p>
        </w:tc>
      </w:tr>
      <w:tr w:rsidR="00726B6B" w:rsidRPr="002A2D65" w14:paraId="022BF8B1" w14:textId="77777777" w:rsidTr="00726B6B">
        <w:trPr>
          <w:trHeight w:val="256"/>
          <w:jc w:val="center"/>
        </w:trPr>
        <w:tc>
          <w:tcPr>
            <w:tcW w:w="1114" w:type="dxa"/>
            <w:tcBorders>
              <w:left w:val="nil"/>
              <w:bottom w:val="single" w:sz="4" w:space="0" w:color="auto"/>
              <w:right w:val="nil"/>
            </w:tcBorders>
            <w:shd w:val="clear" w:color="auto" w:fill="auto"/>
            <w:vAlign w:val="center"/>
          </w:tcPr>
          <w:p w14:paraId="6E7D779C"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left w:val="nil"/>
              <w:bottom w:val="single" w:sz="4" w:space="0" w:color="auto"/>
              <w:right w:val="nil"/>
            </w:tcBorders>
            <w:shd w:val="clear" w:color="auto" w:fill="auto"/>
            <w:vAlign w:val="center"/>
          </w:tcPr>
          <w:p w14:paraId="5E6283E5" w14:textId="1CE51383"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left w:val="nil"/>
              <w:bottom w:val="single" w:sz="4" w:space="0" w:color="auto"/>
              <w:right w:val="nil"/>
            </w:tcBorders>
            <w:shd w:val="clear" w:color="auto" w:fill="auto"/>
            <w:vAlign w:val="bottom"/>
          </w:tcPr>
          <w:p w14:paraId="046ADB83" w14:textId="44DB0990"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81</w:t>
            </w:r>
          </w:p>
        </w:tc>
        <w:tc>
          <w:tcPr>
            <w:tcW w:w="1170" w:type="dxa"/>
            <w:tcBorders>
              <w:left w:val="nil"/>
              <w:bottom w:val="single" w:sz="4" w:space="0" w:color="auto"/>
              <w:right w:val="nil"/>
            </w:tcBorders>
            <w:shd w:val="clear" w:color="auto" w:fill="auto"/>
            <w:vAlign w:val="bottom"/>
          </w:tcPr>
          <w:p w14:paraId="1273D29C" w14:textId="0451427A"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107</w:t>
            </w:r>
          </w:p>
        </w:tc>
        <w:tc>
          <w:tcPr>
            <w:tcW w:w="1481" w:type="dxa"/>
            <w:tcBorders>
              <w:left w:val="nil"/>
              <w:bottom w:val="single" w:sz="4" w:space="0" w:color="auto"/>
              <w:right w:val="nil"/>
            </w:tcBorders>
            <w:shd w:val="clear" w:color="auto" w:fill="auto"/>
            <w:vAlign w:val="bottom"/>
          </w:tcPr>
          <w:p w14:paraId="00636FFC" w14:textId="77782269"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19</w:t>
            </w:r>
          </w:p>
        </w:tc>
        <w:tc>
          <w:tcPr>
            <w:tcW w:w="888" w:type="dxa"/>
            <w:tcBorders>
              <w:left w:val="nil"/>
              <w:bottom w:val="single" w:sz="4" w:space="0" w:color="auto"/>
              <w:right w:val="nil"/>
            </w:tcBorders>
            <w:shd w:val="clear" w:color="auto" w:fill="auto"/>
            <w:vAlign w:val="bottom"/>
          </w:tcPr>
          <w:p w14:paraId="01CBCAB3" w14:textId="111F1147"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27</w:t>
            </w:r>
          </w:p>
        </w:tc>
      </w:tr>
      <w:tr w:rsidR="00726B6B" w:rsidRPr="002A2D65" w14:paraId="2D67B8C9" w14:textId="77777777" w:rsidTr="002A2D65">
        <w:trPr>
          <w:trHeight w:val="256"/>
          <w:jc w:val="center"/>
        </w:trPr>
        <w:tc>
          <w:tcPr>
            <w:tcW w:w="1114" w:type="dxa"/>
            <w:tcBorders>
              <w:top w:val="single" w:sz="4" w:space="0" w:color="auto"/>
              <w:left w:val="nil"/>
              <w:bottom w:val="nil"/>
              <w:right w:val="nil"/>
            </w:tcBorders>
            <w:shd w:val="clear" w:color="auto" w:fill="auto"/>
            <w:noWrap/>
            <w:vAlign w:val="center"/>
            <w:hideMark/>
          </w:tcPr>
          <w:p w14:paraId="2FD91B25"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Raisin</w:t>
            </w:r>
          </w:p>
        </w:tc>
        <w:tc>
          <w:tcPr>
            <w:tcW w:w="1136" w:type="dxa"/>
            <w:tcBorders>
              <w:top w:val="single" w:sz="4" w:space="0" w:color="auto"/>
              <w:left w:val="nil"/>
              <w:bottom w:val="nil"/>
              <w:right w:val="nil"/>
            </w:tcBorders>
            <w:shd w:val="clear" w:color="auto" w:fill="auto"/>
            <w:noWrap/>
            <w:vAlign w:val="center"/>
            <w:hideMark/>
          </w:tcPr>
          <w:p w14:paraId="36F33960" w14:textId="4F631FB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2BECF709" w14:textId="054454B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1170" w:type="dxa"/>
            <w:tcBorders>
              <w:top w:val="single" w:sz="4" w:space="0" w:color="auto"/>
              <w:left w:val="nil"/>
              <w:bottom w:val="nil"/>
              <w:right w:val="nil"/>
            </w:tcBorders>
            <w:shd w:val="clear" w:color="auto" w:fill="auto"/>
            <w:noWrap/>
            <w:vAlign w:val="bottom"/>
          </w:tcPr>
          <w:p w14:paraId="3CCDE1F8" w14:textId="2894A49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24</w:t>
            </w:r>
          </w:p>
        </w:tc>
        <w:tc>
          <w:tcPr>
            <w:tcW w:w="1481" w:type="dxa"/>
            <w:tcBorders>
              <w:top w:val="single" w:sz="4" w:space="0" w:color="auto"/>
              <w:left w:val="nil"/>
              <w:bottom w:val="nil"/>
              <w:right w:val="nil"/>
            </w:tcBorders>
            <w:shd w:val="clear" w:color="auto" w:fill="auto"/>
            <w:noWrap/>
            <w:vAlign w:val="bottom"/>
          </w:tcPr>
          <w:p w14:paraId="06A42A93" w14:textId="3DA4E97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25</w:t>
            </w:r>
          </w:p>
        </w:tc>
        <w:tc>
          <w:tcPr>
            <w:tcW w:w="888" w:type="dxa"/>
            <w:tcBorders>
              <w:top w:val="single" w:sz="4" w:space="0" w:color="auto"/>
              <w:left w:val="nil"/>
              <w:bottom w:val="nil"/>
              <w:right w:val="nil"/>
            </w:tcBorders>
            <w:shd w:val="clear" w:color="auto" w:fill="auto"/>
            <w:noWrap/>
            <w:vAlign w:val="bottom"/>
          </w:tcPr>
          <w:p w14:paraId="6302014C" w14:textId="5166BAC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17</w:t>
            </w:r>
          </w:p>
        </w:tc>
      </w:tr>
      <w:tr w:rsidR="00726B6B" w:rsidRPr="002A2D65" w14:paraId="1E9883CE" w14:textId="77777777" w:rsidTr="00AE2698">
        <w:trPr>
          <w:trHeight w:val="256"/>
          <w:jc w:val="center"/>
        </w:trPr>
        <w:tc>
          <w:tcPr>
            <w:tcW w:w="1114" w:type="dxa"/>
            <w:tcBorders>
              <w:top w:val="nil"/>
              <w:left w:val="nil"/>
              <w:bottom w:val="nil"/>
              <w:right w:val="nil"/>
            </w:tcBorders>
            <w:shd w:val="clear" w:color="auto" w:fill="auto"/>
            <w:noWrap/>
            <w:vAlign w:val="center"/>
            <w:hideMark/>
          </w:tcPr>
          <w:p w14:paraId="7F28D367"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5C431532" w14:textId="06A0FB1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bottom w:val="nil"/>
              <w:right w:val="nil"/>
            </w:tcBorders>
            <w:shd w:val="clear" w:color="auto" w:fill="auto"/>
            <w:noWrap/>
            <w:vAlign w:val="bottom"/>
          </w:tcPr>
          <w:p w14:paraId="149105E5" w14:textId="2971BEE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66</w:t>
            </w:r>
          </w:p>
        </w:tc>
        <w:tc>
          <w:tcPr>
            <w:tcW w:w="1170" w:type="dxa"/>
            <w:tcBorders>
              <w:top w:val="nil"/>
              <w:left w:val="nil"/>
              <w:bottom w:val="nil"/>
              <w:right w:val="nil"/>
            </w:tcBorders>
            <w:shd w:val="clear" w:color="auto" w:fill="auto"/>
            <w:noWrap/>
            <w:vAlign w:val="bottom"/>
          </w:tcPr>
          <w:p w14:paraId="1A9BD6CB" w14:textId="697AFD16"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50</w:t>
            </w:r>
          </w:p>
        </w:tc>
        <w:tc>
          <w:tcPr>
            <w:tcW w:w="1481" w:type="dxa"/>
            <w:tcBorders>
              <w:top w:val="nil"/>
              <w:left w:val="nil"/>
              <w:bottom w:val="nil"/>
              <w:right w:val="nil"/>
            </w:tcBorders>
            <w:shd w:val="clear" w:color="auto" w:fill="auto"/>
            <w:noWrap/>
            <w:vAlign w:val="bottom"/>
          </w:tcPr>
          <w:p w14:paraId="7EA3C37E" w14:textId="7A9E4376"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bottom w:val="nil"/>
              <w:right w:val="nil"/>
            </w:tcBorders>
            <w:shd w:val="clear" w:color="auto" w:fill="auto"/>
            <w:noWrap/>
            <w:vAlign w:val="bottom"/>
          </w:tcPr>
          <w:p w14:paraId="6B8FB2FB" w14:textId="6D17977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16</w:t>
            </w:r>
          </w:p>
        </w:tc>
      </w:tr>
      <w:tr w:rsidR="00726B6B" w:rsidRPr="002A2D65" w14:paraId="657FBFF0" w14:textId="77777777" w:rsidTr="00726B6B">
        <w:trPr>
          <w:trHeight w:val="256"/>
          <w:jc w:val="center"/>
        </w:trPr>
        <w:tc>
          <w:tcPr>
            <w:tcW w:w="1114" w:type="dxa"/>
            <w:tcBorders>
              <w:top w:val="nil"/>
              <w:left w:val="nil"/>
              <w:bottom w:val="nil"/>
              <w:right w:val="nil"/>
            </w:tcBorders>
            <w:shd w:val="clear" w:color="auto" w:fill="auto"/>
            <w:noWrap/>
            <w:vAlign w:val="center"/>
            <w:hideMark/>
          </w:tcPr>
          <w:p w14:paraId="5C054303"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50E8A760" w14:textId="1CB9E59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bottom w:val="nil"/>
              <w:right w:val="nil"/>
            </w:tcBorders>
            <w:shd w:val="clear" w:color="auto" w:fill="auto"/>
            <w:noWrap/>
            <w:vAlign w:val="bottom"/>
          </w:tcPr>
          <w:p w14:paraId="0869ED30" w14:textId="45A0126C"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1170" w:type="dxa"/>
            <w:tcBorders>
              <w:top w:val="nil"/>
              <w:left w:val="nil"/>
              <w:bottom w:val="nil"/>
              <w:right w:val="nil"/>
            </w:tcBorders>
            <w:shd w:val="clear" w:color="auto" w:fill="auto"/>
            <w:noWrap/>
            <w:vAlign w:val="bottom"/>
          </w:tcPr>
          <w:p w14:paraId="62BCFFB6" w14:textId="3CB60A86"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39</w:t>
            </w:r>
          </w:p>
        </w:tc>
        <w:tc>
          <w:tcPr>
            <w:tcW w:w="1481" w:type="dxa"/>
            <w:tcBorders>
              <w:top w:val="nil"/>
              <w:left w:val="nil"/>
              <w:bottom w:val="nil"/>
              <w:right w:val="nil"/>
            </w:tcBorders>
            <w:shd w:val="clear" w:color="auto" w:fill="auto"/>
            <w:noWrap/>
            <w:vAlign w:val="bottom"/>
          </w:tcPr>
          <w:p w14:paraId="3DDD98FA" w14:textId="576DA200"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888" w:type="dxa"/>
            <w:tcBorders>
              <w:top w:val="nil"/>
              <w:left w:val="nil"/>
              <w:bottom w:val="nil"/>
              <w:right w:val="nil"/>
            </w:tcBorders>
            <w:shd w:val="clear" w:color="auto" w:fill="auto"/>
            <w:noWrap/>
            <w:vAlign w:val="bottom"/>
          </w:tcPr>
          <w:p w14:paraId="79428609" w14:textId="193EB56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41</w:t>
            </w:r>
          </w:p>
        </w:tc>
      </w:tr>
      <w:tr w:rsidR="00726B6B" w:rsidRPr="002A2D65" w14:paraId="24B24BF5" w14:textId="77777777" w:rsidTr="002A2D65">
        <w:trPr>
          <w:trHeight w:val="256"/>
          <w:jc w:val="center"/>
        </w:trPr>
        <w:tc>
          <w:tcPr>
            <w:tcW w:w="1114" w:type="dxa"/>
            <w:tcBorders>
              <w:top w:val="nil"/>
              <w:left w:val="nil"/>
              <w:bottom w:val="single" w:sz="4" w:space="0" w:color="auto"/>
              <w:right w:val="nil"/>
            </w:tcBorders>
            <w:shd w:val="clear" w:color="auto" w:fill="auto"/>
            <w:noWrap/>
            <w:vAlign w:val="center"/>
          </w:tcPr>
          <w:p w14:paraId="5486E035"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single" w:sz="4" w:space="0" w:color="auto"/>
              <w:right w:val="nil"/>
            </w:tcBorders>
            <w:shd w:val="clear" w:color="auto" w:fill="auto"/>
            <w:noWrap/>
            <w:vAlign w:val="center"/>
          </w:tcPr>
          <w:p w14:paraId="5554234D" w14:textId="22AA6F2F"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top w:val="nil"/>
              <w:left w:val="nil"/>
              <w:bottom w:val="single" w:sz="4" w:space="0" w:color="auto"/>
              <w:right w:val="nil"/>
            </w:tcBorders>
            <w:shd w:val="clear" w:color="auto" w:fill="auto"/>
            <w:noWrap/>
            <w:vAlign w:val="bottom"/>
          </w:tcPr>
          <w:p w14:paraId="17DB16D8" w14:textId="0E42DF7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13</w:t>
            </w:r>
          </w:p>
        </w:tc>
        <w:tc>
          <w:tcPr>
            <w:tcW w:w="1170" w:type="dxa"/>
            <w:tcBorders>
              <w:top w:val="nil"/>
              <w:left w:val="nil"/>
              <w:bottom w:val="single" w:sz="4" w:space="0" w:color="auto"/>
              <w:right w:val="nil"/>
            </w:tcBorders>
            <w:shd w:val="clear" w:color="auto" w:fill="auto"/>
            <w:noWrap/>
            <w:vAlign w:val="bottom"/>
          </w:tcPr>
          <w:p w14:paraId="4B081617" w14:textId="30A528B8"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14</w:t>
            </w:r>
          </w:p>
        </w:tc>
        <w:tc>
          <w:tcPr>
            <w:tcW w:w="1481" w:type="dxa"/>
            <w:tcBorders>
              <w:top w:val="nil"/>
              <w:left w:val="nil"/>
              <w:bottom w:val="single" w:sz="4" w:space="0" w:color="auto"/>
              <w:right w:val="nil"/>
            </w:tcBorders>
            <w:shd w:val="clear" w:color="auto" w:fill="auto"/>
            <w:noWrap/>
            <w:vAlign w:val="bottom"/>
          </w:tcPr>
          <w:p w14:paraId="10443DFC" w14:textId="026B7A33"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22</w:t>
            </w:r>
          </w:p>
        </w:tc>
        <w:tc>
          <w:tcPr>
            <w:tcW w:w="888" w:type="dxa"/>
            <w:tcBorders>
              <w:top w:val="nil"/>
              <w:left w:val="nil"/>
              <w:bottom w:val="single" w:sz="4" w:space="0" w:color="auto"/>
              <w:right w:val="nil"/>
            </w:tcBorders>
            <w:shd w:val="clear" w:color="auto" w:fill="auto"/>
            <w:noWrap/>
            <w:vAlign w:val="bottom"/>
          </w:tcPr>
          <w:p w14:paraId="250AA6EB" w14:textId="3AD0873B"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27</w:t>
            </w:r>
          </w:p>
        </w:tc>
      </w:tr>
    </w:tbl>
    <w:p w14:paraId="3CCAA120" w14:textId="77777777" w:rsidR="00522578" w:rsidRDefault="00522578" w:rsidP="00522578"/>
    <w:p w14:paraId="22116D94" w14:textId="3D929E2B" w:rsidR="00C839CD" w:rsidRDefault="00C839CD" w:rsidP="00522578">
      <w:pPr>
        <w:pStyle w:val="Heading2"/>
      </w:pPr>
      <w:r>
        <w:t xml:space="preserve">Summary of </w:t>
      </w:r>
      <w:r w:rsidR="00B303B3">
        <w:t>P</w:t>
      </w:r>
      <w:r>
        <w:t>re</w:t>
      </w:r>
      <w:r w:rsidR="00B303B3">
        <w:t>-</w:t>
      </w:r>
      <w:r>
        <w:t xml:space="preserve"> and </w:t>
      </w:r>
      <w:r w:rsidR="00B303B3">
        <w:t>P</w:t>
      </w:r>
      <w:r>
        <w:t>ost</w:t>
      </w:r>
      <w:r w:rsidR="00B303B3">
        <w:t>-R</w:t>
      </w:r>
      <w:r>
        <w:t xml:space="preserve">egulation </w:t>
      </w:r>
      <w:r w:rsidR="00B303B3">
        <w:t>Phosphorus</w:t>
      </w:r>
      <w:r>
        <w:t xml:space="preserve"> </w:t>
      </w:r>
      <w:r w:rsidR="00B303B3">
        <w:t>C</w:t>
      </w:r>
      <w:r>
        <w:t>oncentrations</w:t>
      </w:r>
    </w:p>
    <w:p w14:paraId="4CFB7DBE" w14:textId="5831B39C" w:rsidR="00CB7291" w:rsidRDefault="002508A3" w:rsidP="00E5593C">
      <w:pPr>
        <w:ind w:firstLine="576"/>
      </w:pPr>
      <w:r>
        <w:t>Within the Maumee River</w:t>
      </w:r>
      <w:r w:rsidR="00CB7291">
        <w:t xml:space="preserve"> watershed, flow-weighted mean concentration reductions were most apparent during the frozen and thaw seasons (Table 3). The Tiffin watershed had 20, 13, and 12% reductions in SRP, TP and TSS, respectively</w:t>
      </w:r>
      <w:r w:rsidR="00E5593C">
        <w:t>, during the frozen season</w:t>
      </w:r>
      <w:r w:rsidR="00CB7291">
        <w:t xml:space="preserve">. While the </w:t>
      </w:r>
      <w:r w:rsidR="00CB7291">
        <w:lastRenderedPageBreak/>
        <w:t>Blanchard watershed had a 10% reduction in TP and a 33% reduction in TSS</w:t>
      </w:r>
      <w:r w:rsidR="00E5593C">
        <w:t xml:space="preserve"> during the frozen season</w:t>
      </w:r>
      <w:r w:rsidR="00CB7291">
        <w:t xml:space="preserve">. One exception was the 8% increase in SRP concentration in the Blanchard River. </w:t>
      </w:r>
      <w:r w:rsidR="00E5593C">
        <w:t xml:space="preserve">During the thaw season, the Tiffin River 11, 0, and 10% concentration reductions in SRP, TP, and TSS, respectively; while, the Blanchard River had 10, 8, and 27% reductions in SRP, TP, and TSS concentration, respectively. </w:t>
      </w:r>
      <w:r w:rsidR="00CB7291">
        <w:t>These concentration changes, along with those from other, unmeasured tributaries, culminated in concentrations reductions of 20, 17, and 26% for SRP, TP, and TSS, respectively, during the frozen season and 10, 10, and 27% concentration reductions in SRP, TP, and TSS, respectively, during the thaw season.</w:t>
      </w:r>
      <w:r w:rsidR="00E5593C">
        <w:t xml:space="preserve"> Unlike the observations in the Maumee River watershed, the only mean concentration reduction in the River Raisin was the 1% reduction in SRP during the frozen season. Otherwise, TP concentrations increased 11 and 15% in the frozen and thaw seasons, respectively. While the TSS concentrations increased 22 and 3% in the frozen and thaw seasons, respectively. </w:t>
      </w:r>
    </w:p>
    <w:p w14:paraId="634394DF" w14:textId="7AA00675" w:rsidR="002508A3" w:rsidRPr="00EC7F10" w:rsidRDefault="00A77555" w:rsidP="002508A3">
      <w:r>
        <w:tab/>
        <w:t xml:space="preserve">While concentration reductions were broadly observed in the frozen and thaw seasons for the Maumee River basin, the spring and especially the fall seasons included more concentration increases. </w:t>
      </w:r>
      <w:r w:rsidR="002B66E8">
        <w:t>In the spring, the</w:t>
      </w:r>
      <w:r>
        <w:t xml:space="preserve"> Blanchard River had concentration increases of 17, 13, and 17% for SRP, TP, and TSS, respectively, while the Tiffin River had concentration decreases of 20, 17, and 26% for SRP, TP, and TSS, respectively (Table 3). </w:t>
      </w:r>
      <w:r w:rsidR="003B2854">
        <w:t xml:space="preserve">In the </w:t>
      </w:r>
      <w:r w:rsidR="002B66E8">
        <w:t xml:space="preserve">Maumee River, the spring season had an 8% concentration decrease in SRP, but 13 and 6% increases in TP and TSS, respectively. Meanwhile, the River Raisin had concentration increases of 14, 41, and 41% for SRP, TP, and TSS, respectively. In the fall season, Tiffin, Blanchard, and Maumee experienced concentration increases for SRP, TP, and TSS ranging from a 7% increase in TP for Blanchard to a 29% increase in TSS for Tiffin. Alternatively, the Raisin River experienced concentration decreases for TP and TSS in the fall, and a 4% concentration increase in SRP. </w:t>
      </w:r>
    </w:p>
    <w:p w14:paraId="629EADD0" w14:textId="0C702173" w:rsidR="00C839CD" w:rsidRDefault="00E17422" w:rsidP="00404DE7">
      <w:pPr>
        <w:pStyle w:val="Caption"/>
      </w:pPr>
      <w:r>
        <w:lastRenderedPageBreak/>
        <w:t>Table 3: S</w:t>
      </w:r>
      <w:r w:rsidR="00B303B3">
        <w:t>ummary of average daily flow-weighted mean SRP</w:t>
      </w:r>
      <w:r w:rsidR="00CB7E87">
        <w:t xml:space="preserve">, </w:t>
      </w:r>
      <w:r w:rsidR="00B303B3">
        <w:t>TP</w:t>
      </w:r>
      <w:r w:rsidR="00CB7E87">
        <w:t>, and TSS</w:t>
      </w:r>
      <w:r w:rsidR="00B303B3">
        <w:t xml:space="preserve"> concentrations (mg/L) for each site, season, and period combination.</w:t>
      </w:r>
    </w:p>
    <w:tbl>
      <w:tblPr>
        <w:tblW w:w="7034" w:type="dxa"/>
        <w:jc w:val="center"/>
        <w:tblLook w:val="04A0" w:firstRow="1" w:lastRow="0" w:firstColumn="1" w:lastColumn="0" w:noHBand="0" w:noVBand="1"/>
      </w:tblPr>
      <w:tblGrid>
        <w:gridCol w:w="726"/>
        <w:gridCol w:w="956"/>
        <w:gridCol w:w="537"/>
        <w:gridCol w:w="531"/>
        <w:gridCol w:w="726"/>
        <w:gridCol w:w="531"/>
        <w:gridCol w:w="531"/>
        <w:gridCol w:w="726"/>
        <w:gridCol w:w="527"/>
        <w:gridCol w:w="517"/>
        <w:gridCol w:w="726"/>
      </w:tblGrid>
      <w:tr w:rsidR="00B42E24" w:rsidRPr="00404DE7" w14:paraId="10CA41C1" w14:textId="77777777" w:rsidTr="00F47C0F">
        <w:trPr>
          <w:trHeight w:val="300"/>
          <w:jc w:val="center"/>
        </w:trPr>
        <w:tc>
          <w:tcPr>
            <w:tcW w:w="726" w:type="dxa"/>
            <w:vMerge w:val="restart"/>
            <w:tcBorders>
              <w:top w:val="single" w:sz="4" w:space="0" w:color="auto"/>
              <w:left w:val="nil"/>
              <w:right w:val="nil"/>
            </w:tcBorders>
            <w:vAlign w:val="center"/>
          </w:tcPr>
          <w:p w14:paraId="1C985199" w14:textId="1E7F8EB7"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Season</w:t>
            </w:r>
          </w:p>
        </w:tc>
        <w:tc>
          <w:tcPr>
            <w:tcW w:w="956" w:type="dxa"/>
            <w:vMerge w:val="restart"/>
            <w:tcBorders>
              <w:top w:val="single" w:sz="4" w:space="0" w:color="auto"/>
              <w:left w:val="nil"/>
              <w:right w:val="nil"/>
            </w:tcBorders>
            <w:vAlign w:val="center"/>
          </w:tcPr>
          <w:p w14:paraId="1A7F2523" w14:textId="38CB75A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Station</w:t>
            </w:r>
          </w:p>
        </w:tc>
        <w:tc>
          <w:tcPr>
            <w:tcW w:w="1794" w:type="dxa"/>
            <w:gridSpan w:val="3"/>
            <w:tcBorders>
              <w:top w:val="single" w:sz="4" w:space="0" w:color="auto"/>
              <w:left w:val="nil"/>
              <w:bottom w:val="single" w:sz="4" w:space="0" w:color="auto"/>
              <w:right w:val="nil"/>
            </w:tcBorders>
            <w:shd w:val="clear" w:color="auto" w:fill="auto"/>
            <w:vAlign w:val="center"/>
          </w:tcPr>
          <w:p w14:paraId="5FD1B858" w14:textId="0310B62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SRP</w:t>
            </w:r>
          </w:p>
        </w:tc>
        <w:tc>
          <w:tcPr>
            <w:tcW w:w="1788" w:type="dxa"/>
            <w:gridSpan w:val="3"/>
            <w:tcBorders>
              <w:top w:val="single" w:sz="4" w:space="0" w:color="auto"/>
              <w:left w:val="nil"/>
              <w:bottom w:val="single" w:sz="4" w:space="0" w:color="auto"/>
              <w:right w:val="nil"/>
            </w:tcBorders>
            <w:shd w:val="clear" w:color="auto" w:fill="auto"/>
            <w:vAlign w:val="center"/>
          </w:tcPr>
          <w:p w14:paraId="5469C748" w14:textId="7D816C81"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TP</w:t>
            </w:r>
          </w:p>
        </w:tc>
        <w:tc>
          <w:tcPr>
            <w:tcW w:w="1770" w:type="dxa"/>
            <w:gridSpan w:val="3"/>
            <w:tcBorders>
              <w:top w:val="single" w:sz="4" w:space="0" w:color="auto"/>
              <w:left w:val="nil"/>
              <w:bottom w:val="single" w:sz="4" w:space="0" w:color="auto"/>
              <w:right w:val="nil"/>
            </w:tcBorders>
            <w:shd w:val="clear" w:color="auto" w:fill="auto"/>
            <w:vAlign w:val="center"/>
          </w:tcPr>
          <w:p w14:paraId="2FD81C81" w14:textId="1B35625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TSS</w:t>
            </w:r>
          </w:p>
        </w:tc>
      </w:tr>
      <w:tr w:rsidR="006C1567" w:rsidRPr="00404DE7" w14:paraId="18086070" w14:textId="77777777" w:rsidTr="00404DE7">
        <w:trPr>
          <w:trHeight w:val="300"/>
          <w:jc w:val="center"/>
        </w:trPr>
        <w:tc>
          <w:tcPr>
            <w:tcW w:w="726" w:type="dxa"/>
            <w:vMerge/>
            <w:tcBorders>
              <w:left w:val="nil"/>
              <w:bottom w:val="single" w:sz="4" w:space="0" w:color="auto"/>
              <w:right w:val="nil"/>
            </w:tcBorders>
            <w:vAlign w:val="center"/>
            <w:hideMark/>
          </w:tcPr>
          <w:p w14:paraId="7F5D7377" w14:textId="45D1262D" w:rsidR="006C1567" w:rsidRPr="006C1567" w:rsidRDefault="006C1567" w:rsidP="00404DE7">
            <w:pPr>
              <w:spacing w:after="0" w:line="240" w:lineRule="auto"/>
              <w:jc w:val="center"/>
              <w:rPr>
                <w:rFonts w:eastAsia="Times New Roman" w:cs="Times New Roman"/>
                <w:color w:val="000000"/>
                <w:sz w:val="18"/>
                <w:szCs w:val="18"/>
              </w:rPr>
            </w:pPr>
          </w:p>
        </w:tc>
        <w:tc>
          <w:tcPr>
            <w:tcW w:w="956" w:type="dxa"/>
            <w:vMerge/>
            <w:tcBorders>
              <w:left w:val="nil"/>
              <w:bottom w:val="single" w:sz="4" w:space="0" w:color="auto"/>
              <w:right w:val="nil"/>
            </w:tcBorders>
            <w:vAlign w:val="center"/>
            <w:hideMark/>
          </w:tcPr>
          <w:p w14:paraId="3F238CC6" w14:textId="3A7F329D" w:rsidR="006C1567" w:rsidRPr="006C1567" w:rsidRDefault="006C1567" w:rsidP="00404DE7">
            <w:pPr>
              <w:spacing w:after="0" w:line="240" w:lineRule="auto"/>
              <w:jc w:val="center"/>
              <w:rPr>
                <w:rFonts w:eastAsia="Times New Roman" w:cs="Times New Roman"/>
                <w:color w:val="000000"/>
                <w:sz w:val="18"/>
                <w:szCs w:val="18"/>
              </w:rPr>
            </w:pPr>
          </w:p>
        </w:tc>
        <w:tc>
          <w:tcPr>
            <w:tcW w:w="537" w:type="dxa"/>
            <w:tcBorders>
              <w:top w:val="single" w:sz="4" w:space="0" w:color="auto"/>
              <w:left w:val="nil"/>
              <w:bottom w:val="single" w:sz="4" w:space="0" w:color="auto"/>
              <w:right w:val="nil"/>
            </w:tcBorders>
            <w:shd w:val="clear" w:color="auto" w:fill="auto"/>
            <w:vAlign w:val="center"/>
            <w:hideMark/>
          </w:tcPr>
          <w:p w14:paraId="51DC5B2D"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31" w:type="dxa"/>
            <w:tcBorders>
              <w:top w:val="single" w:sz="4" w:space="0" w:color="auto"/>
              <w:left w:val="nil"/>
              <w:bottom w:val="single" w:sz="4" w:space="0" w:color="auto"/>
              <w:right w:val="nil"/>
            </w:tcBorders>
            <w:shd w:val="clear" w:color="auto" w:fill="auto"/>
            <w:vAlign w:val="center"/>
            <w:hideMark/>
          </w:tcPr>
          <w:p w14:paraId="0DA29F9F"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32D25B2C"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c>
          <w:tcPr>
            <w:tcW w:w="531" w:type="dxa"/>
            <w:tcBorders>
              <w:top w:val="single" w:sz="4" w:space="0" w:color="auto"/>
              <w:left w:val="nil"/>
              <w:bottom w:val="single" w:sz="4" w:space="0" w:color="auto"/>
              <w:right w:val="nil"/>
            </w:tcBorders>
            <w:shd w:val="clear" w:color="auto" w:fill="auto"/>
            <w:vAlign w:val="center"/>
            <w:hideMark/>
          </w:tcPr>
          <w:p w14:paraId="4B007A9B"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31" w:type="dxa"/>
            <w:tcBorders>
              <w:top w:val="single" w:sz="4" w:space="0" w:color="auto"/>
              <w:left w:val="nil"/>
              <w:bottom w:val="single" w:sz="4" w:space="0" w:color="auto"/>
              <w:right w:val="nil"/>
            </w:tcBorders>
            <w:shd w:val="clear" w:color="auto" w:fill="auto"/>
            <w:vAlign w:val="center"/>
            <w:hideMark/>
          </w:tcPr>
          <w:p w14:paraId="6C6C5B0E"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13EE249F"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c>
          <w:tcPr>
            <w:tcW w:w="527" w:type="dxa"/>
            <w:tcBorders>
              <w:top w:val="single" w:sz="4" w:space="0" w:color="auto"/>
              <w:left w:val="nil"/>
              <w:bottom w:val="single" w:sz="4" w:space="0" w:color="auto"/>
              <w:right w:val="nil"/>
            </w:tcBorders>
            <w:shd w:val="clear" w:color="auto" w:fill="auto"/>
            <w:vAlign w:val="center"/>
            <w:hideMark/>
          </w:tcPr>
          <w:p w14:paraId="31FF970B"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17" w:type="dxa"/>
            <w:tcBorders>
              <w:top w:val="single" w:sz="4" w:space="0" w:color="auto"/>
              <w:left w:val="nil"/>
              <w:bottom w:val="single" w:sz="4" w:space="0" w:color="auto"/>
              <w:right w:val="nil"/>
            </w:tcBorders>
            <w:shd w:val="clear" w:color="auto" w:fill="auto"/>
            <w:vAlign w:val="center"/>
            <w:hideMark/>
          </w:tcPr>
          <w:p w14:paraId="35524C13"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313D4EE4"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r>
      <w:tr w:rsidR="00404DE7" w:rsidRPr="00404DE7" w14:paraId="23956D10"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49248F19" w14:textId="14B7BBA6"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Fro</w:t>
            </w:r>
            <w:r w:rsidR="00CB7291">
              <w:rPr>
                <w:rFonts w:eastAsia="Times New Roman" w:cs="Times New Roman"/>
                <w:color w:val="000000"/>
                <w:sz w:val="18"/>
                <w:szCs w:val="18"/>
              </w:rPr>
              <w:t>zen</w:t>
            </w:r>
          </w:p>
          <w:p w14:paraId="146879D6" w14:textId="178024F2"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0716D5B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1211B88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531" w:type="dxa"/>
            <w:tcBorders>
              <w:top w:val="single" w:sz="4" w:space="0" w:color="auto"/>
              <w:left w:val="nil"/>
              <w:bottom w:val="nil"/>
              <w:right w:val="nil"/>
            </w:tcBorders>
            <w:shd w:val="clear" w:color="auto" w:fill="auto"/>
            <w:noWrap/>
            <w:vAlign w:val="center"/>
            <w:hideMark/>
          </w:tcPr>
          <w:p w14:paraId="4CE1E8B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0.07</w:t>
            </w:r>
          </w:p>
        </w:tc>
        <w:tc>
          <w:tcPr>
            <w:tcW w:w="726" w:type="dxa"/>
            <w:tcBorders>
              <w:top w:val="single" w:sz="4" w:space="0" w:color="auto"/>
              <w:left w:val="nil"/>
              <w:bottom w:val="nil"/>
              <w:right w:val="nil"/>
            </w:tcBorders>
            <w:shd w:val="clear" w:color="000000" w:fill="9CD5AC"/>
            <w:noWrap/>
            <w:vAlign w:val="center"/>
            <w:hideMark/>
          </w:tcPr>
          <w:p w14:paraId="11A999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single" w:sz="4" w:space="0" w:color="auto"/>
              <w:left w:val="nil"/>
              <w:bottom w:val="nil"/>
              <w:right w:val="nil"/>
            </w:tcBorders>
            <w:shd w:val="clear" w:color="auto" w:fill="auto"/>
            <w:noWrap/>
            <w:vAlign w:val="center"/>
            <w:hideMark/>
          </w:tcPr>
          <w:p w14:paraId="32639E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0.25</w:t>
            </w:r>
          </w:p>
        </w:tc>
        <w:tc>
          <w:tcPr>
            <w:tcW w:w="531" w:type="dxa"/>
            <w:tcBorders>
              <w:top w:val="single" w:sz="4" w:space="0" w:color="auto"/>
              <w:left w:val="nil"/>
              <w:bottom w:val="nil"/>
              <w:right w:val="nil"/>
            </w:tcBorders>
            <w:shd w:val="clear" w:color="auto" w:fill="auto"/>
            <w:noWrap/>
            <w:vAlign w:val="center"/>
            <w:hideMark/>
          </w:tcPr>
          <w:p w14:paraId="32D1658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0.21</w:t>
            </w:r>
          </w:p>
        </w:tc>
        <w:tc>
          <w:tcPr>
            <w:tcW w:w="726" w:type="dxa"/>
            <w:tcBorders>
              <w:top w:val="single" w:sz="4" w:space="0" w:color="auto"/>
              <w:left w:val="nil"/>
              <w:bottom w:val="nil"/>
              <w:right w:val="nil"/>
            </w:tcBorders>
            <w:shd w:val="clear" w:color="000000" w:fill="BBE1C7"/>
            <w:noWrap/>
            <w:vAlign w:val="center"/>
            <w:hideMark/>
          </w:tcPr>
          <w:p w14:paraId="2630306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single" w:sz="4" w:space="0" w:color="auto"/>
              <w:left w:val="nil"/>
              <w:bottom w:val="nil"/>
              <w:right w:val="nil"/>
            </w:tcBorders>
            <w:shd w:val="clear" w:color="auto" w:fill="auto"/>
            <w:noWrap/>
            <w:vAlign w:val="center"/>
            <w:hideMark/>
          </w:tcPr>
          <w:p w14:paraId="21BDA2C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52</w:t>
            </w:r>
          </w:p>
        </w:tc>
        <w:tc>
          <w:tcPr>
            <w:tcW w:w="517" w:type="dxa"/>
            <w:tcBorders>
              <w:top w:val="single" w:sz="4" w:space="0" w:color="auto"/>
              <w:left w:val="nil"/>
              <w:bottom w:val="nil"/>
              <w:right w:val="nil"/>
            </w:tcBorders>
            <w:shd w:val="clear" w:color="auto" w:fill="auto"/>
            <w:noWrap/>
            <w:vAlign w:val="center"/>
            <w:hideMark/>
          </w:tcPr>
          <w:p w14:paraId="031A917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46</w:t>
            </w:r>
          </w:p>
        </w:tc>
        <w:tc>
          <w:tcPr>
            <w:tcW w:w="726" w:type="dxa"/>
            <w:tcBorders>
              <w:top w:val="single" w:sz="4" w:space="0" w:color="auto"/>
              <w:left w:val="nil"/>
              <w:bottom w:val="nil"/>
              <w:right w:val="nil"/>
            </w:tcBorders>
            <w:shd w:val="clear" w:color="000000" w:fill="C0E3CB"/>
            <w:noWrap/>
            <w:vAlign w:val="center"/>
            <w:hideMark/>
          </w:tcPr>
          <w:p w14:paraId="2D4AA47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w:t>
            </w:r>
          </w:p>
        </w:tc>
      </w:tr>
      <w:tr w:rsidR="00404DE7" w:rsidRPr="00404DE7" w14:paraId="7A475B49" w14:textId="77777777" w:rsidTr="00404DE7">
        <w:trPr>
          <w:trHeight w:val="290"/>
          <w:jc w:val="center"/>
        </w:trPr>
        <w:tc>
          <w:tcPr>
            <w:tcW w:w="726" w:type="dxa"/>
            <w:vMerge/>
            <w:tcBorders>
              <w:left w:val="nil"/>
              <w:right w:val="nil"/>
            </w:tcBorders>
            <w:shd w:val="clear" w:color="auto" w:fill="auto"/>
            <w:vAlign w:val="center"/>
            <w:hideMark/>
          </w:tcPr>
          <w:p w14:paraId="3685CFE3" w14:textId="5FF9EB40"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4684FF7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77498DC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531" w:type="dxa"/>
            <w:tcBorders>
              <w:top w:val="nil"/>
              <w:left w:val="nil"/>
              <w:bottom w:val="nil"/>
              <w:right w:val="nil"/>
            </w:tcBorders>
            <w:shd w:val="clear" w:color="auto" w:fill="auto"/>
            <w:noWrap/>
            <w:vAlign w:val="center"/>
            <w:hideMark/>
          </w:tcPr>
          <w:p w14:paraId="5BD1472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0.14</w:t>
            </w:r>
          </w:p>
        </w:tc>
        <w:tc>
          <w:tcPr>
            <w:tcW w:w="726" w:type="dxa"/>
            <w:tcBorders>
              <w:top w:val="nil"/>
              <w:left w:val="nil"/>
              <w:bottom w:val="nil"/>
              <w:right w:val="nil"/>
            </w:tcBorders>
            <w:shd w:val="clear" w:color="000000" w:fill="FCE4E7"/>
            <w:noWrap/>
            <w:vAlign w:val="center"/>
            <w:hideMark/>
          </w:tcPr>
          <w:p w14:paraId="06A2F1F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3428776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0.46</w:t>
            </w:r>
          </w:p>
        </w:tc>
        <w:tc>
          <w:tcPr>
            <w:tcW w:w="531" w:type="dxa"/>
            <w:tcBorders>
              <w:top w:val="nil"/>
              <w:left w:val="nil"/>
              <w:bottom w:val="nil"/>
              <w:right w:val="nil"/>
            </w:tcBorders>
            <w:shd w:val="clear" w:color="auto" w:fill="auto"/>
            <w:noWrap/>
            <w:vAlign w:val="center"/>
            <w:hideMark/>
          </w:tcPr>
          <w:p w14:paraId="0F7A78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0.41</w:t>
            </w:r>
          </w:p>
        </w:tc>
        <w:tc>
          <w:tcPr>
            <w:tcW w:w="726" w:type="dxa"/>
            <w:tcBorders>
              <w:top w:val="nil"/>
              <w:left w:val="nil"/>
              <w:bottom w:val="nil"/>
              <w:right w:val="nil"/>
            </w:tcBorders>
            <w:shd w:val="clear" w:color="000000" w:fill="C9E7D3"/>
            <w:noWrap/>
            <w:vAlign w:val="center"/>
            <w:hideMark/>
          </w:tcPr>
          <w:p w14:paraId="6868C4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27" w:type="dxa"/>
            <w:tcBorders>
              <w:top w:val="nil"/>
              <w:left w:val="nil"/>
              <w:bottom w:val="nil"/>
              <w:right w:val="nil"/>
            </w:tcBorders>
            <w:shd w:val="clear" w:color="auto" w:fill="auto"/>
            <w:noWrap/>
            <w:vAlign w:val="center"/>
            <w:hideMark/>
          </w:tcPr>
          <w:p w14:paraId="163FBE7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129</w:t>
            </w:r>
          </w:p>
        </w:tc>
        <w:tc>
          <w:tcPr>
            <w:tcW w:w="517" w:type="dxa"/>
            <w:tcBorders>
              <w:top w:val="nil"/>
              <w:left w:val="nil"/>
              <w:bottom w:val="nil"/>
              <w:right w:val="nil"/>
            </w:tcBorders>
            <w:shd w:val="clear" w:color="auto" w:fill="auto"/>
            <w:noWrap/>
            <w:vAlign w:val="center"/>
            <w:hideMark/>
          </w:tcPr>
          <w:p w14:paraId="267B158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86</w:t>
            </w:r>
          </w:p>
        </w:tc>
        <w:tc>
          <w:tcPr>
            <w:tcW w:w="726" w:type="dxa"/>
            <w:tcBorders>
              <w:top w:val="nil"/>
              <w:left w:val="nil"/>
              <w:bottom w:val="nil"/>
              <w:right w:val="nil"/>
            </w:tcBorders>
            <w:shd w:val="clear" w:color="000000" w:fill="63BE7B"/>
            <w:noWrap/>
            <w:vAlign w:val="center"/>
            <w:hideMark/>
          </w:tcPr>
          <w:p w14:paraId="5AF4BEC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-33</w:t>
            </w:r>
          </w:p>
        </w:tc>
      </w:tr>
      <w:tr w:rsidR="00404DE7" w:rsidRPr="00404DE7" w14:paraId="7FAED071" w14:textId="77777777" w:rsidTr="00404DE7">
        <w:trPr>
          <w:trHeight w:val="290"/>
          <w:jc w:val="center"/>
        </w:trPr>
        <w:tc>
          <w:tcPr>
            <w:tcW w:w="726" w:type="dxa"/>
            <w:vMerge/>
            <w:tcBorders>
              <w:left w:val="nil"/>
              <w:right w:val="nil"/>
            </w:tcBorders>
            <w:shd w:val="clear" w:color="auto" w:fill="auto"/>
            <w:vAlign w:val="center"/>
            <w:hideMark/>
          </w:tcPr>
          <w:p w14:paraId="1E8609EA" w14:textId="6547B9CB"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17371C5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38480B2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3EDFC7A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nil"/>
              <w:left w:val="nil"/>
              <w:bottom w:val="nil"/>
              <w:right w:val="nil"/>
            </w:tcBorders>
            <w:shd w:val="clear" w:color="000000" w:fill="9CD5AC"/>
            <w:noWrap/>
            <w:vAlign w:val="center"/>
            <w:hideMark/>
          </w:tcPr>
          <w:p w14:paraId="29FC3E1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nil"/>
              <w:left w:val="nil"/>
              <w:bottom w:val="nil"/>
              <w:right w:val="nil"/>
            </w:tcBorders>
            <w:shd w:val="clear" w:color="auto" w:fill="auto"/>
            <w:noWrap/>
            <w:vAlign w:val="center"/>
            <w:hideMark/>
          </w:tcPr>
          <w:p w14:paraId="4CE7F1E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nil"/>
              <w:left w:val="nil"/>
              <w:bottom w:val="nil"/>
              <w:right w:val="nil"/>
            </w:tcBorders>
            <w:shd w:val="clear" w:color="auto" w:fill="auto"/>
            <w:noWrap/>
            <w:vAlign w:val="center"/>
            <w:hideMark/>
          </w:tcPr>
          <w:p w14:paraId="7938A93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0.36</w:t>
            </w:r>
          </w:p>
        </w:tc>
        <w:tc>
          <w:tcPr>
            <w:tcW w:w="726" w:type="dxa"/>
            <w:tcBorders>
              <w:top w:val="nil"/>
              <w:left w:val="nil"/>
              <w:bottom w:val="nil"/>
              <w:right w:val="nil"/>
            </w:tcBorders>
            <w:shd w:val="clear" w:color="000000" w:fill="A9DAB8"/>
            <w:noWrap/>
            <w:vAlign w:val="center"/>
            <w:hideMark/>
          </w:tcPr>
          <w:p w14:paraId="0DC0DC4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27" w:type="dxa"/>
            <w:tcBorders>
              <w:top w:val="nil"/>
              <w:left w:val="nil"/>
              <w:bottom w:val="nil"/>
              <w:right w:val="nil"/>
            </w:tcBorders>
            <w:shd w:val="clear" w:color="auto" w:fill="auto"/>
            <w:noWrap/>
            <w:vAlign w:val="center"/>
            <w:hideMark/>
          </w:tcPr>
          <w:p w14:paraId="3ACF714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517" w:type="dxa"/>
            <w:tcBorders>
              <w:top w:val="nil"/>
              <w:left w:val="nil"/>
              <w:bottom w:val="nil"/>
              <w:right w:val="nil"/>
            </w:tcBorders>
            <w:shd w:val="clear" w:color="auto" w:fill="auto"/>
            <w:noWrap/>
            <w:vAlign w:val="center"/>
            <w:hideMark/>
          </w:tcPr>
          <w:p w14:paraId="4339705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117</w:t>
            </w:r>
          </w:p>
        </w:tc>
        <w:tc>
          <w:tcPr>
            <w:tcW w:w="726" w:type="dxa"/>
            <w:tcBorders>
              <w:top w:val="nil"/>
              <w:left w:val="nil"/>
              <w:bottom w:val="nil"/>
              <w:right w:val="nil"/>
            </w:tcBorders>
            <w:shd w:val="clear" w:color="000000" w:fill="82CA95"/>
            <w:noWrap/>
            <w:vAlign w:val="center"/>
            <w:hideMark/>
          </w:tcPr>
          <w:p w14:paraId="0D9747E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-26</w:t>
            </w:r>
          </w:p>
        </w:tc>
      </w:tr>
      <w:tr w:rsidR="00404DE7" w:rsidRPr="00404DE7" w14:paraId="7C177602"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07F8997" w14:textId="3FB0106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67CE608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735968C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531" w:type="dxa"/>
            <w:tcBorders>
              <w:top w:val="nil"/>
              <w:left w:val="nil"/>
              <w:bottom w:val="single" w:sz="4" w:space="0" w:color="auto"/>
              <w:right w:val="nil"/>
            </w:tcBorders>
            <w:shd w:val="clear" w:color="auto" w:fill="auto"/>
            <w:noWrap/>
            <w:vAlign w:val="center"/>
            <w:hideMark/>
          </w:tcPr>
          <w:p w14:paraId="4815059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726" w:type="dxa"/>
            <w:tcBorders>
              <w:top w:val="nil"/>
              <w:left w:val="nil"/>
              <w:bottom w:val="single" w:sz="4" w:space="0" w:color="auto"/>
              <w:right w:val="nil"/>
            </w:tcBorders>
            <w:shd w:val="clear" w:color="000000" w:fill="F0F7F5"/>
            <w:noWrap/>
            <w:vAlign w:val="center"/>
            <w:hideMark/>
          </w:tcPr>
          <w:p w14:paraId="69852CC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w:t>
            </w:r>
          </w:p>
        </w:tc>
        <w:tc>
          <w:tcPr>
            <w:tcW w:w="531" w:type="dxa"/>
            <w:tcBorders>
              <w:top w:val="nil"/>
              <w:left w:val="nil"/>
              <w:bottom w:val="single" w:sz="4" w:space="0" w:color="auto"/>
              <w:right w:val="nil"/>
            </w:tcBorders>
            <w:shd w:val="clear" w:color="auto" w:fill="auto"/>
            <w:noWrap/>
            <w:vAlign w:val="center"/>
            <w:hideMark/>
          </w:tcPr>
          <w:p w14:paraId="3513B8D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0.14</w:t>
            </w:r>
          </w:p>
        </w:tc>
        <w:tc>
          <w:tcPr>
            <w:tcW w:w="531" w:type="dxa"/>
            <w:tcBorders>
              <w:top w:val="nil"/>
              <w:left w:val="nil"/>
              <w:bottom w:val="single" w:sz="4" w:space="0" w:color="auto"/>
              <w:right w:val="nil"/>
            </w:tcBorders>
            <w:shd w:val="clear" w:color="auto" w:fill="auto"/>
            <w:noWrap/>
            <w:vAlign w:val="center"/>
            <w:hideMark/>
          </w:tcPr>
          <w:p w14:paraId="50A6F52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726" w:type="dxa"/>
            <w:tcBorders>
              <w:top w:val="nil"/>
              <w:left w:val="nil"/>
              <w:bottom w:val="single" w:sz="4" w:space="0" w:color="auto"/>
              <w:right w:val="nil"/>
            </w:tcBorders>
            <w:shd w:val="clear" w:color="000000" w:fill="FCD9DC"/>
            <w:noWrap/>
            <w:vAlign w:val="center"/>
            <w:hideMark/>
          </w:tcPr>
          <w:p w14:paraId="3018E73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w:t>
            </w:r>
          </w:p>
        </w:tc>
        <w:tc>
          <w:tcPr>
            <w:tcW w:w="527" w:type="dxa"/>
            <w:tcBorders>
              <w:top w:val="nil"/>
              <w:left w:val="nil"/>
              <w:bottom w:val="single" w:sz="4" w:space="0" w:color="auto"/>
              <w:right w:val="nil"/>
            </w:tcBorders>
            <w:shd w:val="clear" w:color="auto" w:fill="auto"/>
            <w:noWrap/>
            <w:vAlign w:val="center"/>
            <w:hideMark/>
          </w:tcPr>
          <w:p w14:paraId="4669F17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40</w:t>
            </w:r>
          </w:p>
        </w:tc>
        <w:tc>
          <w:tcPr>
            <w:tcW w:w="517" w:type="dxa"/>
            <w:tcBorders>
              <w:top w:val="nil"/>
              <w:left w:val="nil"/>
              <w:bottom w:val="single" w:sz="4" w:space="0" w:color="auto"/>
              <w:right w:val="nil"/>
            </w:tcBorders>
            <w:shd w:val="clear" w:color="auto" w:fill="auto"/>
            <w:noWrap/>
            <w:vAlign w:val="center"/>
            <w:hideMark/>
          </w:tcPr>
          <w:p w14:paraId="6961DBB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48</w:t>
            </w:r>
          </w:p>
        </w:tc>
        <w:tc>
          <w:tcPr>
            <w:tcW w:w="726" w:type="dxa"/>
            <w:tcBorders>
              <w:top w:val="nil"/>
              <w:left w:val="nil"/>
              <w:bottom w:val="single" w:sz="4" w:space="0" w:color="auto"/>
              <w:right w:val="nil"/>
            </w:tcBorders>
            <w:shd w:val="clear" w:color="000000" w:fill="FAB0B3"/>
            <w:noWrap/>
            <w:vAlign w:val="center"/>
            <w:hideMark/>
          </w:tcPr>
          <w:p w14:paraId="6A37DC9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22</w:t>
            </w:r>
          </w:p>
        </w:tc>
      </w:tr>
      <w:tr w:rsidR="00404DE7" w:rsidRPr="00404DE7" w14:paraId="2F071B7E"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63A8E5C4"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Thaw</w:t>
            </w:r>
          </w:p>
          <w:p w14:paraId="2B17180C" w14:textId="2A161535"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30025EC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65FB9B2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0.06</w:t>
            </w:r>
          </w:p>
        </w:tc>
        <w:tc>
          <w:tcPr>
            <w:tcW w:w="531" w:type="dxa"/>
            <w:tcBorders>
              <w:top w:val="single" w:sz="4" w:space="0" w:color="auto"/>
              <w:left w:val="nil"/>
              <w:bottom w:val="nil"/>
              <w:right w:val="nil"/>
            </w:tcBorders>
            <w:shd w:val="clear" w:color="auto" w:fill="auto"/>
            <w:noWrap/>
            <w:vAlign w:val="center"/>
            <w:hideMark/>
          </w:tcPr>
          <w:p w14:paraId="007C790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0.06</w:t>
            </w:r>
          </w:p>
        </w:tc>
        <w:tc>
          <w:tcPr>
            <w:tcW w:w="726" w:type="dxa"/>
            <w:tcBorders>
              <w:top w:val="single" w:sz="4" w:space="0" w:color="auto"/>
              <w:left w:val="nil"/>
              <w:bottom w:val="nil"/>
              <w:right w:val="nil"/>
            </w:tcBorders>
            <w:shd w:val="clear" w:color="000000" w:fill="C4E5CF"/>
            <w:noWrap/>
            <w:vAlign w:val="center"/>
            <w:hideMark/>
          </w:tcPr>
          <w:p w14:paraId="423C6C3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w:t>
            </w:r>
          </w:p>
        </w:tc>
        <w:tc>
          <w:tcPr>
            <w:tcW w:w="531" w:type="dxa"/>
            <w:tcBorders>
              <w:top w:val="single" w:sz="4" w:space="0" w:color="auto"/>
              <w:left w:val="nil"/>
              <w:bottom w:val="nil"/>
              <w:right w:val="nil"/>
            </w:tcBorders>
            <w:shd w:val="clear" w:color="auto" w:fill="auto"/>
            <w:noWrap/>
            <w:vAlign w:val="center"/>
            <w:hideMark/>
          </w:tcPr>
          <w:p w14:paraId="2310764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531" w:type="dxa"/>
            <w:tcBorders>
              <w:top w:val="single" w:sz="4" w:space="0" w:color="auto"/>
              <w:left w:val="nil"/>
              <w:bottom w:val="nil"/>
              <w:right w:val="nil"/>
            </w:tcBorders>
            <w:shd w:val="clear" w:color="auto" w:fill="auto"/>
            <w:noWrap/>
            <w:vAlign w:val="center"/>
            <w:hideMark/>
          </w:tcPr>
          <w:p w14:paraId="4996C0E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726" w:type="dxa"/>
            <w:tcBorders>
              <w:top w:val="single" w:sz="4" w:space="0" w:color="auto"/>
              <w:left w:val="nil"/>
              <w:bottom w:val="nil"/>
              <w:right w:val="nil"/>
            </w:tcBorders>
            <w:shd w:val="clear" w:color="000000" w:fill="F5F9F9"/>
            <w:noWrap/>
            <w:vAlign w:val="center"/>
            <w:hideMark/>
          </w:tcPr>
          <w:p w14:paraId="377478A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w:t>
            </w:r>
          </w:p>
        </w:tc>
        <w:tc>
          <w:tcPr>
            <w:tcW w:w="527" w:type="dxa"/>
            <w:tcBorders>
              <w:top w:val="single" w:sz="4" w:space="0" w:color="auto"/>
              <w:left w:val="nil"/>
              <w:bottom w:val="nil"/>
              <w:right w:val="nil"/>
            </w:tcBorders>
            <w:shd w:val="clear" w:color="auto" w:fill="auto"/>
            <w:noWrap/>
            <w:vAlign w:val="center"/>
            <w:hideMark/>
          </w:tcPr>
          <w:p w14:paraId="0A46554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91</w:t>
            </w:r>
          </w:p>
        </w:tc>
        <w:tc>
          <w:tcPr>
            <w:tcW w:w="517" w:type="dxa"/>
            <w:tcBorders>
              <w:top w:val="single" w:sz="4" w:space="0" w:color="auto"/>
              <w:left w:val="nil"/>
              <w:bottom w:val="nil"/>
              <w:right w:val="nil"/>
            </w:tcBorders>
            <w:shd w:val="clear" w:color="auto" w:fill="auto"/>
            <w:noWrap/>
            <w:vAlign w:val="center"/>
            <w:hideMark/>
          </w:tcPr>
          <w:p w14:paraId="474127E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82</w:t>
            </w:r>
          </w:p>
        </w:tc>
        <w:tc>
          <w:tcPr>
            <w:tcW w:w="726" w:type="dxa"/>
            <w:tcBorders>
              <w:top w:val="single" w:sz="4" w:space="0" w:color="auto"/>
              <w:left w:val="nil"/>
              <w:bottom w:val="nil"/>
              <w:right w:val="nil"/>
            </w:tcBorders>
            <w:shd w:val="clear" w:color="000000" w:fill="C9E7D3"/>
            <w:noWrap/>
            <w:vAlign w:val="center"/>
            <w:hideMark/>
          </w:tcPr>
          <w:p w14:paraId="29A4B6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r>
      <w:tr w:rsidR="00404DE7" w:rsidRPr="00404DE7" w14:paraId="0FED4767" w14:textId="77777777" w:rsidTr="00404DE7">
        <w:trPr>
          <w:trHeight w:val="290"/>
          <w:jc w:val="center"/>
        </w:trPr>
        <w:tc>
          <w:tcPr>
            <w:tcW w:w="726" w:type="dxa"/>
            <w:vMerge/>
            <w:tcBorders>
              <w:left w:val="nil"/>
              <w:right w:val="nil"/>
            </w:tcBorders>
            <w:shd w:val="clear" w:color="auto" w:fill="auto"/>
            <w:vAlign w:val="center"/>
            <w:hideMark/>
          </w:tcPr>
          <w:p w14:paraId="3EB66BE4" w14:textId="160E3B4D"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7755EFB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36DAB3F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7F37259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0.10</w:t>
            </w:r>
          </w:p>
        </w:tc>
        <w:tc>
          <w:tcPr>
            <w:tcW w:w="726" w:type="dxa"/>
            <w:tcBorders>
              <w:top w:val="nil"/>
              <w:left w:val="nil"/>
              <w:bottom w:val="nil"/>
              <w:right w:val="nil"/>
            </w:tcBorders>
            <w:shd w:val="clear" w:color="000000" w:fill="C9E7D3"/>
            <w:noWrap/>
            <w:vAlign w:val="center"/>
            <w:hideMark/>
          </w:tcPr>
          <w:p w14:paraId="01AA967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31" w:type="dxa"/>
            <w:tcBorders>
              <w:top w:val="nil"/>
              <w:left w:val="nil"/>
              <w:bottom w:val="nil"/>
              <w:right w:val="nil"/>
            </w:tcBorders>
            <w:shd w:val="clear" w:color="auto" w:fill="auto"/>
            <w:noWrap/>
            <w:vAlign w:val="center"/>
            <w:hideMark/>
          </w:tcPr>
          <w:p w14:paraId="085AD6C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0.55</w:t>
            </w:r>
          </w:p>
        </w:tc>
        <w:tc>
          <w:tcPr>
            <w:tcW w:w="531" w:type="dxa"/>
            <w:tcBorders>
              <w:top w:val="nil"/>
              <w:left w:val="nil"/>
              <w:bottom w:val="nil"/>
              <w:right w:val="nil"/>
            </w:tcBorders>
            <w:shd w:val="clear" w:color="auto" w:fill="auto"/>
            <w:noWrap/>
            <w:vAlign w:val="center"/>
            <w:hideMark/>
          </w:tcPr>
          <w:p w14:paraId="1FED723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0.50</w:t>
            </w:r>
          </w:p>
        </w:tc>
        <w:tc>
          <w:tcPr>
            <w:tcW w:w="726" w:type="dxa"/>
            <w:tcBorders>
              <w:top w:val="nil"/>
              <w:left w:val="nil"/>
              <w:bottom w:val="nil"/>
              <w:right w:val="nil"/>
            </w:tcBorders>
            <w:shd w:val="clear" w:color="000000" w:fill="D1EADA"/>
            <w:noWrap/>
            <w:vAlign w:val="center"/>
            <w:hideMark/>
          </w:tcPr>
          <w:p w14:paraId="7342CEF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27" w:type="dxa"/>
            <w:tcBorders>
              <w:top w:val="nil"/>
              <w:left w:val="nil"/>
              <w:bottom w:val="nil"/>
              <w:right w:val="nil"/>
            </w:tcBorders>
            <w:shd w:val="clear" w:color="auto" w:fill="auto"/>
            <w:noWrap/>
            <w:vAlign w:val="center"/>
            <w:hideMark/>
          </w:tcPr>
          <w:p w14:paraId="650A5FA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197</w:t>
            </w:r>
          </w:p>
        </w:tc>
        <w:tc>
          <w:tcPr>
            <w:tcW w:w="517" w:type="dxa"/>
            <w:tcBorders>
              <w:top w:val="nil"/>
              <w:left w:val="nil"/>
              <w:bottom w:val="nil"/>
              <w:right w:val="nil"/>
            </w:tcBorders>
            <w:shd w:val="clear" w:color="auto" w:fill="auto"/>
            <w:noWrap/>
            <w:vAlign w:val="center"/>
            <w:hideMark/>
          </w:tcPr>
          <w:p w14:paraId="5A05BA8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145</w:t>
            </w:r>
          </w:p>
        </w:tc>
        <w:tc>
          <w:tcPr>
            <w:tcW w:w="726" w:type="dxa"/>
            <w:tcBorders>
              <w:top w:val="nil"/>
              <w:left w:val="nil"/>
              <w:bottom w:val="nil"/>
              <w:right w:val="nil"/>
            </w:tcBorders>
            <w:shd w:val="clear" w:color="000000" w:fill="7DC891"/>
            <w:noWrap/>
            <w:vAlign w:val="center"/>
            <w:hideMark/>
          </w:tcPr>
          <w:p w14:paraId="28D1B3D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-27</w:t>
            </w:r>
          </w:p>
        </w:tc>
      </w:tr>
      <w:tr w:rsidR="00404DE7" w:rsidRPr="00404DE7" w14:paraId="2AAE11EC" w14:textId="77777777" w:rsidTr="00404DE7">
        <w:trPr>
          <w:trHeight w:val="290"/>
          <w:jc w:val="center"/>
        </w:trPr>
        <w:tc>
          <w:tcPr>
            <w:tcW w:w="726" w:type="dxa"/>
            <w:vMerge/>
            <w:tcBorders>
              <w:left w:val="nil"/>
              <w:right w:val="nil"/>
            </w:tcBorders>
            <w:shd w:val="clear" w:color="auto" w:fill="auto"/>
            <w:vAlign w:val="center"/>
            <w:hideMark/>
          </w:tcPr>
          <w:p w14:paraId="1CD8FD68" w14:textId="0831721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4B7E411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459406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nil"/>
              <w:left w:val="nil"/>
              <w:bottom w:val="nil"/>
              <w:right w:val="nil"/>
            </w:tcBorders>
            <w:shd w:val="clear" w:color="auto" w:fill="auto"/>
            <w:noWrap/>
            <w:vAlign w:val="center"/>
            <w:hideMark/>
          </w:tcPr>
          <w:p w14:paraId="5AB8A3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726" w:type="dxa"/>
            <w:tcBorders>
              <w:top w:val="nil"/>
              <w:left w:val="nil"/>
              <w:bottom w:val="nil"/>
              <w:right w:val="nil"/>
            </w:tcBorders>
            <w:shd w:val="clear" w:color="000000" w:fill="C9E7D3"/>
            <w:noWrap/>
            <w:vAlign w:val="center"/>
            <w:hideMark/>
          </w:tcPr>
          <w:p w14:paraId="7853CF0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31" w:type="dxa"/>
            <w:tcBorders>
              <w:top w:val="nil"/>
              <w:left w:val="nil"/>
              <w:bottom w:val="nil"/>
              <w:right w:val="nil"/>
            </w:tcBorders>
            <w:shd w:val="clear" w:color="auto" w:fill="auto"/>
            <w:noWrap/>
            <w:vAlign w:val="center"/>
            <w:hideMark/>
          </w:tcPr>
          <w:p w14:paraId="423A77A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0.47</w:t>
            </w:r>
          </w:p>
        </w:tc>
        <w:tc>
          <w:tcPr>
            <w:tcW w:w="531" w:type="dxa"/>
            <w:tcBorders>
              <w:top w:val="nil"/>
              <w:left w:val="nil"/>
              <w:bottom w:val="nil"/>
              <w:right w:val="nil"/>
            </w:tcBorders>
            <w:shd w:val="clear" w:color="auto" w:fill="auto"/>
            <w:noWrap/>
            <w:vAlign w:val="center"/>
            <w:hideMark/>
          </w:tcPr>
          <w:p w14:paraId="580CB3A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0.43</w:t>
            </w:r>
          </w:p>
        </w:tc>
        <w:tc>
          <w:tcPr>
            <w:tcW w:w="726" w:type="dxa"/>
            <w:tcBorders>
              <w:top w:val="nil"/>
              <w:left w:val="nil"/>
              <w:bottom w:val="nil"/>
              <w:right w:val="nil"/>
            </w:tcBorders>
            <w:shd w:val="clear" w:color="000000" w:fill="C9E7D3"/>
            <w:noWrap/>
            <w:vAlign w:val="center"/>
            <w:hideMark/>
          </w:tcPr>
          <w:p w14:paraId="7A550F2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27" w:type="dxa"/>
            <w:tcBorders>
              <w:top w:val="nil"/>
              <w:left w:val="nil"/>
              <w:bottom w:val="nil"/>
              <w:right w:val="nil"/>
            </w:tcBorders>
            <w:shd w:val="clear" w:color="auto" w:fill="auto"/>
            <w:noWrap/>
            <w:vAlign w:val="center"/>
            <w:hideMark/>
          </w:tcPr>
          <w:p w14:paraId="2C32D37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199</w:t>
            </w:r>
          </w:p>
        </w:tc>
        <w:tc>
          <w:tcPr>
            <w:tcW w:w="517" w:type="dxa"/>
            <w:tcBorders>
              <w:top w:val="nil"/>
              <w:left w:val="nil"/>
              <w:bottom w:val="nil"/>
              <w:right w:val="nil"/>
            </w:tcBorders>
            <w:shd w:val="clear" w:color="auto" w:fill="auto"/>
            <w:noWrap/>
            <w:vAlign w:val="center"/>
            <w:hideMark/>
          </w:tcPr>
          <w:p w14:paraId="34E81C2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146</w:t>
            </w:r>
          </w:p>
        </w:tc>
        <w:tc>
          <w:tcPr>
            <w:tcW w:w="726" w:type="dxa"/>
            <w:tcBorders>
              <w:top w:val="nil"/>
              <w:left w:val="nil"/>
              <w:bottom w:val="nil"/>
              <w:right w:val="nil"/>
            </w:tcBorders>
            <w:shd w:val="clear" w:color="000000" w:fill="7DC891"/>
            <w:noWrap/>
            <w:vAlign w:val="center"/>
            <w:hideMark/>
          </w:tcPr>
          <w:p w14:paraId="478DEC4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-27</w:t>
            </w:r>
          </w:p>
        </w:tc>
      </w:tr>
      <w:tr w:rsidR="00404DE7" w:rsidRPr="00404DE7" w14:paraId="6613D5D9"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2F25210" w14:textId="7FDFFCA7"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55432D0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0D22E0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531" w:type="dxa"/>
            <w:tcBorders>
              <w:top w:val="nil"/>
              <w:left w:val="nil"/>
              <w:bottom w:val="single" w:sz="4" w:space="0" w:color="auto"/>
              <w:right w:val="nil"/>
            </w:tcBorders>
            <w:shd w:val="clear" w:color="auto" w:fill="auto"/>
            <w:noWrap/>
            <w:vAlign w:val="center"/>
            <w:hideMark/>
          </w:tcPr>
          <w:p w14:paraId="0E06884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726" w:type="dxa"/>
            <w:tcBorders>
              <w:top w:val="nil"/>
              <w:left w:val="nil"/>
              <w:bottom w:val="single" w:sz="4" w:space="0" w:color="auto"/>
              <w:right w:val="nil"/>
            </w:tcBorders>
            <w:shd w:val="clear" w:color="000000" w:fill="FCF7FA"/>
            <w:noWrap/>
            <w:vAlign w:val="center"/>
            <w:hideMark/>
          </w:tcPr>
          <w:p w14:paraId="2BA62D7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w:t>
            </w:r>
          </w:p>
        </w:tc>
        <w:tc>
          <w:tcPr>
            <w:tcW w:w="531" w:type="dxa"/>
            <w:tcBorders>
              <w:top w:val="nil"/>
              <w:left w:val="nil"/>
              <w:bottom w:val="single" w:sz="4" w:space="0" w:color="auto"/>
              <w:right w:val="nil"/>
            </w:tcBorders>
            <w:shd w:val="clear" w:color="auto" w:fill="auto"/>
            <w:noWrap/>
            <w:vAlign w:val="center"/>
            <w:hideMark/>
          </w:tcPr>
          <w:p w14:paraId="212AC76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0.18</w:t>
            </w:r>
          </w:p>
        </w:tc>
        <w:tc>
          <w:tcPr>
            <w:tcW w:w="531" w:type="dxa"/>
            <w:tcBorders>
              <w:top w:val="nil"/>
              <w:left w:val="nil"/>
              <w:bottom w:val="single" w:sz="4" w:space="0" w:color="auto"/>
              <w:right w:val="nil"/>
            </w:tcBorders>
            <w:shd w:val="clear" w:color="auto" w:fill="auto"/>
            <w:noWrap/>
            <w:vAlign w:val="center"/>
            <w:hideMark/>
          </w:tcPr>
          <w:p w14:paraId="0130BBD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0.20</w:t>
            </w:r>
          </w:p>
        </w:tc>
        <w:tc>
          <w:tcPr>
            <w:tcW w:w="726" w:type="dxa"/>
            <w:tcBorders>
              <w:top w:val="nil"/>
              <w:left w:val="nil"/>
              <w:bottom w:val="single" w:sz="4" w:space="0" w:color="auto"/>
              <w:right w:val="nil"/>
            </w:tcBorders>
            <w:shd w:val="clear" w:color="000000" w:fill="FBCACD"/>
            <w:noWrap/>
            <w:vAlign w:val="center"/>
            <w:hideMark/>
          </w:tcPr>
          <w:p w14:paraId="45A2355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w:t>
            </w:r>
          </w:p>
        </w:tc>
        <w:tc>
          <w:tcPr>
            <w:tcW w:w="527" w:type="dxa"/>
            <w:tcBorders>
              <w:top w:val="nil"/>
              <w:left w:val="nil"/>
              <w:bottom w:val="single" w:sz="4" w:space="0" w:color="auto"/>
              <w:right w:val="nil"/>
            </w:tcBorders>
            <w:shd w:val="clear" w:color="auto" w:fill="auto"/>
            <w:noWrap/>
            <w:vAlign w:val="center"/>
            <w:hideMark/>
          </w:tcPr>
          <w:p w14:paraId="7AE614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60</w:t>
            </w:r>
          </w:p>
        </w:tc>
        <w:tc>
          <w:tcPr>
            <w:tcW w:w="517" w:type="dxa"/>
            <w:tcBorders>
              <w:top w:val="nil"/>
              <w:left w:val="nil"/>
              <w:bottom w:val="single" w:sz="4" w:space="0" w:color="auto"/>
              <w:right w:val="nil"/>
            </w:tcBorders>
            <w:shd w:val="clear" w:color="auto" w:fill="auto"/>
            <w:noWrap/>
            <w:vAlign w:val="center"/>
            <w:hideMark/>
          </w:tcPr>
          <w:p w14:paraId="67BF276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62</w:t>
            </w:r>
          </w:p>
        </w:tc>
        <w:tc>
          <w:tcPr>
            <w:tcW w:w="726" w:type="dxa"/>
            <w:tcBorders>
              <w:top w:val="nil"/>
              <w:left w:val="nil"/>
              <w:bottom w:val="single" w:sz="4" w:space="0" w:color="auto"/>
              <w:right w:val="nil"/>
            </w:tcBorders>
            <w:shd w:val="clear" w:color="000000" w:fill="FCF7FA"/>
            <w:noWrap/>
            <w:vAlign w:val="center"/>
            <w:hideMark/>
          </w:tcPr>
          <w:p w14:paraId="2B57E5B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w:t>
            </w:r>
          </w:p>
        </w:tc>
      </w:tr>
      <w:tr w:rsidR="00404DE7" w:rsidRPr="00404DE7" w14:paraId="2B035CE0" w14:textId="77777777" w:rsidTr="00404DE7">
        <w:trPr>
          <w:trHeight w:val="290"/>
          <w:jc w:val="center"/>
        </w:trPr>
        <w:tc>
          <w:tcPr>
            <w:tcW w:w="726" w:type="dxa"/>
            <w:vMerge w:val="restart"/>
            <w:tcBorders>
              <w:top w:val="single" w:sz="4" w:space="0" w:color="auto"/>
              <w:left w:val="nil"/>
              <w:right w:val="nil"/>
            </w:tcBorders>
            <w:shd w:val="clear" w:color="auto" w:fill="auto"/>
            <w:vAlign w:val="center"/>
            <w:hideMark/>
          </w:tcPr>
          <w:p w14:paraId="7D139480"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Spring</w:t>
            </w:r>
          </w:p>
          <w:p w14:paraId="21FFCD29" w14:textId="2C385C0F"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6D6E63E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3EFA7B3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single" w:sz="4" w:space="0" w:color="auto"/>
              <w:left w:val="nil"/>
              <w:bottom w:val="nil"/>
              <w:right w:val="nil"/>
            </w:tcBorders>
            <w:shd w:val="clear" w:color="auto" w:fill="auto"/>
            <w:noWrap/>
            <w:vAlign w:val="center"/>
            <w:hideMark/>
          </w:tcPr>
          <w:p w14:paraId="2A56BE8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single" w:sz="4" w:space="0" w:color="auto"/>
              <w:left w:val="nil"/>
              <w:bottom w:val="nil"/>
              <w:right w:val="nil"/>
            </w:tcBorders>
            <w:shd w:val="clear" w:color="000000" w:fill="9CD5AC"/>
            <w:noWrap/>
            <w:vAlign w:val="center"/>
            <w:hideMark/>
          </w:tcPr>
          <w:p w14:paraId="5CD84C6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single" w:sz="4" w:space="0" w:color="auto"/>
              <w:left w:val="nil"/>
              <w:bottom w:val="nil"/>
              <w:right w:val="nil"/>
            </w:tcBorders>
            <w:shd w:val="clear" w:color="auto" w:fill="auto"/>
            <w:noWrap/>
            <w:vAlign w:val="center"/>
            <w:hideMark/>
          </w:tcPr>
          <w:p w14:paraId="70F82C4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single" w:sz="4" w:space="0" w:color="auto"/>
              <w:left w:val="nil"/>
              <w:bottom w:val="nil"/>
              <w:right w:val="nil"/>
            </w:tcBorders>
            <w:shd w:val="clear" w:color="auto" w:fill="auto"/>
            <w:noWrap/>
            <w:vAlign w:val="center"/>
            <w:hideMark/>
          </w:tcPr>
          <w:p w14:paraId="7BC7EC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0.36</w:t>
            </w:r>
          </w:p>
        </w:tc>
        <w:tc>
          <w:tcPr>
            <w:tcW w:w="726" w:type="dxa"/>
            <w:tcBorders>
              <w:top w:val="single" w:sz="4" w:space="0" w:color="auto"/>
              <w:left w:val="nil"/>
              <w:bottom w:val="nil"/>
              <w:right w:val="nil"/>
            </w:tcBorders>
            <w:shd w:val="clear" w:color="000000" w:fill="A9DAB8"/>
            <w:noWrap/>
            <w:vAlign w:val="center"/>
            <w:hideMark/>
          </w:tcPr>
          <w:p w14:paraId="3FB7683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27" w:type="dxa"/>
            <w:tcBorders>
              <w:top w:val="single" w:sz="4" w:space="0" w:color="auto"/>
              <w:left w:val="nil"/>
              <w:bottom w:val="nil"/>
              <w:right w:val="nil"/>
            </w:tcBorders>
            <w:shd w:val="clear" w:color="auto" w:fill="auto"/>
            <w:noWrap/>
            <w:vAlign w:val="center"/>
            <w:hideMark/>
          </w:tcPr>
          <w:p w14:paraId="7A2505E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517" w:type="dxa"/>
            <w:tcBorders>
              <w:top w:val="single" w:sz="4" w:space="0" w:color="auto"/>
              <w:left w:val="nil"/>
              <w:bottom w:val="nil"/>
              <w:right w:val="nil"/>
            </w:tcBorders>
            <w:shd w:val="clear" w:color="auto" w:fill="auto"/>
            <w:noWrap/>
            <w:vAlign w:val="center"/>
            <w:hideMark/>
          </w:tcPr>
          <w:p w14:paraId="7961450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117</w:t>
            </w:r>
          </w:p>
        </w:tc>
        <w:tc>
          <w:tcPr>
            <w:tcW w:w="726" w:type="dxa"/>
            <w:tcBorders>
              <w:top w:val="single" w:sz="4" w:space="0" w:color="auto"/>
              <w:left w:val="nil"/>
              <w:bottom w:val="nil"/>
              <w:right w:val="nil"/>
            </w:tcBorders>
            <w:shd w:val="clear" w:color="000000" w:fill="82CA95"/>
            <w:noWrap/>
            <w:vAlign w:val="center"/>
            <w:hideMark/>
          </w:tcPr>
          <w:p w14:paraId="23A278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-26</w:t>
            </w:r>
          </w:p>
        </w:tc>
      </w:tr>
      <w:tr w:rsidR="00404DE7" w:rsidRPr="00404DE7" w14:paraId="1996831D" w14:textId="77777777" w:rsidTr="00404DE7">
        <w:trPr>
          <w:trHeight w:val="290"/>
          <w:jc w:val="center"/>
        </w:trPr>
        <w:tc>
          <w:tcPr>
            <w:tcW w:w="726" w:type="dxa"/>
            <w:vMerge/>
            <w:tcBorders>
              <w:left w:val="nil"/>
              <w:right w:val="nil"/>
            </w:tcBorders>
            <w:shd w:val="clear" w:color="auto" w:fill="auto"/>
            <w:vAlign w:val="center"/>
            <w:hideMark/>
          </w:tcPr>
          <w:p w14:paraId="3B0EC5C2" w14:textId="6D138D3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40C568C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7051C18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0B7A686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726" w:type="dxa"/>
            <w:tcBorders>
              <w:top w:val="nil"/>
              <w:left w:val="nil"/>
              <w:bottom w:val="nil"/>
              <w:right w:val="nil"/>
            </w:tcBorders>
            <w:shd w:val="clear" w:color="000000" w:fill="FBC3C5"/>
            <w:noWrap/>
            <w:vAlign w:val="center"/>
            <w:hideMark/>
          </w:tcPr>
          <w:p w14:paraId="72051EB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31" w:type="dxa"/>
            <w:tcBorders>
              <w:top w:val="nil"/>
              <w:left w:val="nil"/>
              <w:bottom w:val="nil"/>
              <w:right w:val="nil"/>
            </w:tcBorders>
            <w:shd w:val="clear" w:color="auto" w:fill="auto"/>
            <w:noWrap/>
            <w:vAlign w:val="center"/>
            <w:hideMark/>
          </w:tcPr>
          <w:p w14:paraId="4977919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nil"/>
              <w:left w:val="nil"/>
              <w:bottom w:val="nil"/>
              <w:right w:val="nil"/>
            </w:tcBorders>
            <w:shd w:val="clear" w:color="auto" w:fill="auto"/>
            <w:noWrap/>
            <w:vAlign w:val="center"/>
            <w:hideMark/>
          </w:tcPr>
          <w:p w14:paraId="0B1942A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0.50</w:t>
            </w:r>
          </w:p>
        </w:tc>
        <w:tc>
          <w:tcPr>
            <w:tcW w:w="726" w:type="dxa"/>
            <w:tcBorders>
              <w:top w:val="nil"/>
              <w:left w:val="nil"/>
              <w:bottom w:val="nil"/>
              <w:right w:val="nil"/>
            </w:tcBorders>
            <w:shd w:val="clear" w:color="000000" w:fill="FBD2D4"/>
            <w:noWrap/>
            <w:vAlign w:val="center"/>
            <w:hideMark/>
          </w:tcPr>
          <w:p w14:paraId="631F7AC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49B60A4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136</w:t>
            </w:r>
          </w:p>
        </w:tc>
        <w:tc>
          <w:tcPr>
            <w:tcW w:w="517" w:type="dxa"/>
            <w:tcBorders>
              <w:top w:val="nil"/>
              <w:left w:val="nil"/>
              <w:bottom w:val="nil"/>
              <w:right w:val="nil"/>
            </w:tcBorders>
            <w:shd w:val="clear" w:color="auto" w:fill="auto"/>
            <w:noWrap/>
            <w:vAlign w:val="center"/>
            <w:hideMark/>
          </w:tcPr>
          <w:p w14:paraId="67B4DB1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726" w:type="dxa"/>
            <w:tcBorders>
              <w:top w:val="nil"/>
              <w:left w:val="nil"/>
              <w:bottom w:val="nil"/>
              <w:right w:val="nil"/>
            </w:tcBorders>
            <w:shd w:val="clear" w:color="000000" w:fill="FBC3C5"/>
            <w:noWrap/>
            <w:vAlign w:val="center"/>
            <w:hideMark/>
          </w:tcPr>
          <w:p w14:paraId="204531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r>
      <w:tr w:rsidR="00404DE7" w:rsidRPr="00404DE7" w14:paraId="2A69CA65" w14:textId="77777777" w:rsidTr="00404DE7">
        <w:trPr>
          <w:trHeight w:val="290"/>
          <w:jc w:val="center"/>
        </w:trPr>
        <w:tc>
          <w:tcPr>
            <w:tcW w:w="726" w:type="dxa"/>
            <w:vMerge/>
            <w:tcBorders>
              <w:left w:val="nil"/>
              <w:right w:val="nil"/>
            </w:tcBorders>
            <w:shd w:val="clear" w:color="auto" w:fill="auto"/>
            <w:vAlign w:val="center"/>
            <w:hideMark/>
          </w:tcPr>
          <w:p w14:paraId="3E30C03C" w14:textId="43A2A2A6"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6F4B895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3FE0129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nil"/>
              <w:left w:val="nil"/>
              <w:bottom w:val="nil"/>
              <w:right w:val="nil"/>
            </w:tcBorders>
            <w:shd w:val="clear" w:color="auto" w:fill="auto"/>
            <w:noWrap/>
            <w:vAlign w:val="center"/>
            <w:hideMark/>
          </w:tcPr>
          <w:p w14:paraId="1235F1D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726" w:type="dxa"/>
            <w:tcBorders>
              <w:top w:val="nil"/>
              <w:left w:val="nil"/>
              <w:bottom w:val="nil"/>
              <w:right w:val="nil"/>
            </w:tcBorders>
            <w:shd w:val="clear" w:color="000000" w:fill="D1EADA"/>
            <w:noWrap/>
            <w:vAlign w:val="center"/>
            <w:hideMark/>
          </w:tcPr>
          <w:p w14:paraId="3A8A92E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71336A2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0.37</w:t>
            </w:r>
          </w:p>
        </w:tc>
        <w:tc>
          <w:tcPr>
            <w:tcW w:w="531" w:type="dxa"/>
            <w:tcBorders>
              <w:top w:val="nil"/>
              <w:left w:val="nil"/>
              <w:bottom w:val="nil"/>
              <w:right w:val="nil"/>
            </w:tcBorders>
            <w:shd w:val="clear" w:color="auto" w:fill="auto"/>
            <w:noWrap/>
            <w:vAlign w:val="center"/>
            <w:hideMark/>
          </w:tcPr>
          <w:p w14:paraId="5C7D6FF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0.42</w:t>
            </w:r>
          </w:p>
        </w:tc>
        <w:tc>
          <w:tcPr>
            <w:tcW w:w="726" w:type="dxa"/>
            <w:tcBorders>
              <w:top w:val="nil"/>
              <w:left w:val="nil"/>
              <w:bottom w:val="nil"/>
              <w:right w:val="nil"/>
            </w:tcBorders>
            <w:shd w:val="clear" w:color="000000" w:fill="FBD2D4"/>
            <w:noWrap/>
            <w:vAlign w:val="center"/>
            <w:hideMark/>
          </w:tcPr>
          <w:p w14:paraId="533DC10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032329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154</w:t>
            </w:r>
          </w:p>
        </w:tc>
        <w:tc>
          <w:tcPr>
            <w:tcW w:w="517" w:type="dxa"/>
            <w:tcBorders>
              <w:top w:val="nil"/>
              <w:left w:val="nil"/>
              <w:bottom w:val="nil"/>
              <w:right w:val="nil"/>
            </w:tcBorders>
            <w:shd w:val="clear" w:color="auto" w:fill="auto"/>
            <w:noWrap/>
            <w:vAlign w:val="center"/>
            <w:hideMark/>
          </w:tcPr>
          <w:p w14:paraId="76F6F6B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164</w:t>
            </w:r>
          </w:p>
        </w:tc>
        <w:tc>
          <w:tcPr>
            <w:tcW w:w="726" w:type="dxa"/>
            <w:tcBorders>
              <w:top w:val="nil"/>
              <w:left w:val="nil"/>
              <w:bottom w:val="nil"/>
              <w:right w:val="nil"/>
            </w:tcBorders>
            <w:shd w:val="clear" w:color="000000" w:fill="FCECEF"/>
            <w:noWrap/>
            <w:vAlign w:val="center"/>
            <w:hideMark/>
          </w:tcPr>
          <w:p w14:paraId="7B63456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w:t>
            </w:r>
          </w:p>
        </w:tc>
      </w:tr>
      <w:tr w:rsidR="00404DE7" w:rsidRPr="00404DE7" w14:paraId="3FF90F61"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37866008" w14:textId="415E713B"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391ED67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6F17737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0.03</w:t>
            </w:r>
          </w:p>
        </w:tc>
        <w:tc>
          <w:tcPr>
            <w:tcW w:w="531" w:type="dxa"/>
            <w:tcBorders>
              <w:top w:val="nil"/>
              <w:left w:val="nil"/>
              <w:bottom w:val="single" w:sz="4" w:space="0" w:color="auto"/>
              <w:right w:val="nil"/>
            </w:tcBorders>
            <w:shd w:val="clear" w:color="auto" w:fill="auto"/>
            <w:noWrap/>
            <w:vAlign w:val="center"/>
            <w:hideMark/>
          </w:tcPr>
          <w:p w14:paraId="71B5984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0.03</w:t>
            </w:r>
          </w:p>
        </w:tc>
        <w:tc>
          <w:tcPr>
            <w:tcW w:w="726" w:type="dxa"/>
            <w:tcBorders>
              <w:top w:val="nil"/>
              <w:left w:val="nil"/>
              <w:bottom w:val="single" w:sz="4" w:space="0" w:color="auto"/>
              <w:right w:val="nil"/>
            </w:tcBorders>
            <w:shd w:val="clear" w:color="000000" w:fill="FBCED1"/>
            <w:noWrap/>
            <w:vAlign w:val="center"/>
            <w:hideMark/>
          </w:tcPr>
          <w:p w14:paraId="5EA1071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w:t>
            </w:r>
          </w:p>
        </w:tc>
        <w:tc>
          <w:tcPr>
            <w:tcW w:w="531" w:type="dxa"/>
            <w:tcBorders>
              <w:top w:val="nil"/>
              <w:left w:val="nil"/>
              <w:bottom w:val="single" w:sz="4" w:space="0" w:color="auto"/>
              <w:right w:val="nil"/>
            </w:tcBorders>
            <w:shd w:val="clear" w:color="auto" w:fill="auto"/>
            <w:noWrap/>
            <w:vAlign w:val="center"/>
            <w:hideMark/>
          </w:tcPr>
          <w:p w14:paraId="629A93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531" w:type="dxa"/>
            <w:tcBorders>
              <w:top w:val="nil"/>
              <w:left w:val="nil"/>
              <w:bottom w:val="single" w:sz="4" w:space="0" w:color="auto"/>
              <w:right w:val="nil"/>
            </w:tcBorders>
            <w:shd w:val="clear" w:color="auto" w:fill="auto"/>
            <w:noWrap/>
            <w:vAlign w:val="center"/>
            <w:hideMark/>
          </w:tcPr>
          <w:p w14:paraId="5F0AA67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0.19</w:t>
            </w:r>
          </w:p>
        </w:tc>
        <w:tc>
          <w:tcPr>
            <w:tcW w:w="726" w:type="dxa"/>
            <w:tcBorders>
              <w:top w:val="nil"/>
              <w:left w:val="nil"/>
              <w:bottom w:val="single" w:sz="4" w:space="0" w:color="auto"/>
              <w:right w:val="nil"/>
            </w:tcBorders>
            <w:shd w:val="clear" w:color="000000" w:fill="F8696B"/>
            <w:noWrap/>
            <w:vAlign w:val="center"/>
            <w:hideMark/>
          </w:tcPr>
          <w:p w14:paraId="36A1D2E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41</w:t>
            </w:r>
          </w:p>
        </w:tc>
        <w:tc>
          <w:tcPr>
            <w:tcW w:w="527" w:type="dxa"/>
            <w:tcBorders>
              <w:top w:val="nil"/>
              <w:left w:val="nil"/>
              <w:bottom w:val="single" w:sz="4" w:space="0" w:color="auto"/>
              <w:right w:val="nil"/>
            </w:tcBorders>
            <w:shd w:val="clear" w:color="auto" w:fill="auto"/>
            <w:noWrap/>
            <w:vAlign w:val="center"/>
            <w:hideMark/>
          </w:tcPr>
          <w:p w14:paraId="79253C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44</w:t>
            </w:r>
          </w:p>
        </w:tc>
        <w:tc>
          <w:tcPr>
            <w:tcW w:w="517" w:type="dxa"/>
            <w:tcBorders>
              <w:top w:val="nil"/>
              <w:left w:val="nil"/>
              <w:bottom w:val="single" w:sz="4" w:space="0" w:color="auto"/>
              <w:right w:val="nil"/>
            </w:tcBorders>
            <w:shd w:val="clear" w:color="auto" w:fill="auto"/>
            <w:noWrap/>
            <w:vAlign w:val="center"/>
            <w:hideMark/>
          </w:tcPr>
          <w:p w14:paraId="24800D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61</w:t>
            </w:r>
          </w:p>
        </w:tc>
        <w:tc>
          <w:tcPr>
            <w:tcW w:w="726" w:type="dxa"/>
            <w:tcBorders>
              <w:top w:val="nil"/>
              <w:left w:val="nil"/>
              <w:bottom w:val="single" w:sz="4" w:space="0" w:color="auto"/>
              <w:right w:val="nil"/>
            </w:tcBorders>
            <w:shd w:val="clear" w:color="000000" w:fill="F8696B"/>
            <w:noWrap/>
            <w:vAlign w:val="center"/>
            <w:hideMark/>
          </w:tcPr>
          <w:p w14:paraId="5FA45FB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41</w:t>
            </w:r>
          </w:p>
        </w:tc>
      </w:tr>
      <w:tr w:rsidR="00404DE7" w:rsidRPr="00404DE7" w14:paraId="7D502A73"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3856D2B4"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Fall</w:t>
            </w:r>
          </w:p>
          <w:p w14:paraId="50CFC78A" w14:textId="09308212"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4E26E80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45A027C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single" w:sz="4" w:space="0" w:color="auto"/>
              <w:left w:val="nil"/>
              <w:bottom w:val="nil"/>
              <w:right w:val="nil"/>
            </w:tcBorders>
            <w:shd w:val="clear" w:color="auto" w:fill="auto"/>
            <w:noWrap/>
            <w:vAlign w:val="center"/>
            <w:hideMark/>
          </w:tcPr>
          <w:p w14:paraId="2C2342A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single" w:sz="4" w:space="0" w:color="auto"/>
              <w:left w:val="nil"/>
              <w:bottom w:val="nil"/>
              <w:right w:val="nil"/>
            </w:tcBorders>
            <w:shd w:val="clear" w:color="000000" w:fill="FCE1E3"/>
            <w:noWrap/>
            <w:vAlign w:val="center"/>
            <w:hideMark/>
          </w:tcPr>
          <w:p w14:paraId="5FC0EB7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w:t>
            </w:r>
          </w:p>
        </w:tc>
        <w:tc>
          <w:tcPr>
            <w:tcW w:w="531" w:type="dxa"/>
            <w:tcBorders>
              <w:top w:val="single" w:sz="4" w:space="0" w:color="auto"/>
              <w:left w:val="nil"/>
              <w:bottom w:val="nil"/>
              <w:right w:val="nil"/>
            </w:tcBorders>
            <w:shd w:val="clear" w:color="auto" w:fill="auto"/>
            <w:noWrap/>
            <w:vAlign w:val="center"/>
            <w:hideMark/>
          </w:tcPr>
          <w:p w14:paraId="071521A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0.23</w:t>
            </w:r>
          </w:p>
        </w:tc>
        <w:tc>
          <w:tcPr>
            <w:tcW w:w="531" w:type="dxa"/>
            <w:tcBorders>
              <w:top w:val="single" w:sz="4" w:space="0" w:color="auto"/>
              <w:left w:val="nil"/>
              <w:bottom w:val="nil"/>
              <w:right w:val="nil"/>
            </w:tcBorders>
            <w:shd w:val="clear" w:color="auto" w:fill="auto"/>
            <w:noWrap/>
            <w:vAlign w:val="center"/>
            <w:hideMark/>
          </w:tcPr>
          <w:p w14:paraId="50B9923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726" w:type="dxa"/>
            <w:tcBorders>
              <w:top w:val="single" w:sz="4" w:space="0" w:color="auto"/>
              <w:left w:val="nil"/>
              <w:bottom w:val="nil"/>
              <w:right w:val="nil"/>
            </w:tcBorders>
            <w:shd w:val="clear" w:color="000000" w:fill="FBCACD"/>
            <w:noWrap/>
            <w:vAlign w:val="center"/>
            <w:hideMark/>
          </w:tcPr>
          <w:p w14:paraId="7A2BDD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w:t>
            </w:r>
          </w:p>
        </w:tc>
        <w:tc>
          <w:tcPr>
            <w:tcW w:w="527" w:type="dxa"/>
            <w:tcBorders>
              <w:top w:val="single" w:sz="4" w:space="0" w:color="auto"/>
              <w:left w:val="nil"/>
              <w:bottom w:val="nil"/>
              <w:right w:val="nil"/>
            </w:tcBorders>
            <w:shd w:val="clear" w:color="auto" w:fill="auto"/>
            <w:noWrap/>
            <w:vAlign w:val="center"/>
            <w:hideMark/>
          </w:tcPr>
          <w:p w14:paraId="7FEF223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52</w:t>
            </w:r>
          </w:p>
        </w:tc>
        <w:tc>
          <w:tcPr>
            <w:tcW w:w="517" w:type="dxa"/>
            <w:tcBorders>
              <w:top w:val="single" w:sz="4" w:space="0" w:color="auto"/>
              <w:left w:val="nil"/>
              <w:bottom w:val="nil"/>
              <w:right w:val="nil"/>
            </w:tcBorders>
            <w:shd w:val="clear" w:color="auto" w:fill="auto"/>
            <w:noWrap/>
            <w:vAlign w:val="center"/>
            <w:hideMark/>
          </w:tcPr>
          <w:p w14:paraId="1400C84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68</w:t>
            </w:r>
          </w:p>
        </w:tc>
        <w:tc>
          <w:tcPr>
            <w:tcW w:w="726" w:type="dxa"/>
            <w:tcBorders>
              <w:top w:val="single" w:sz="4" w:space="0" w:color="auto"/>
              <w:left w:val="nil"/>
              <w:bottom w:val="nil"/>
              <w:right w:val="nil"/>
            </w:tcBorders>
            <w:shd w:val="clear" w:color="000000" w:fill="FA9698"/>
            <w:noWrap/>
            <w:vAlign w:val="center"/>
            <w:hideMark/>
          </w:tcPr>
          <w:p w14:paraId="7D1081C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29</w:t>
            </w:r>
          </w:p>
        </w:tc>
      </w:tr>
      <w:tr w:rsidR="00404DE7" w:rsidRPr="00404DE7" w14:paraId="4EE3BA08" w14:textId="77777777" w:rsidTr="00404DE7">
        <w:trPr>
          <w:trHeight w:val="290"/>
          <w:jc w:val="center"/>
        </w:trPr>
        <w:tc>
          <w:tcPr>
            <w:tcW w:w="726" w:type="dxa"/>
            <w:vMerge/>
            <w:tcBorders>
              <w:left w:val="nil"/>
              <w:right w:val="nil"/>
            </w:tcBorders>
            <w:shd w:val="clear" w:color="auto" w:fill="auto"/>
            <w:noWrap/>
            <w:vAlign w:val="center"/>
            <w:hideMark/>
          </w:tcPr>
          <w:p w14:paraId="07797897" w14:textId="7E07139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5A13E13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47B4DDB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0.17</w:t>
            </w:r>
          </w:p>
        </w:tc>
        <w:tc>
          <w:tcPr>
            <w:tcW w:w="531" w:type="dxa"/>
            <w:tcBorders>
              <w:top w:val="nil"/>
              <w:left w:val="nil"/>
              <w:bottom w:val="nil"/>
              <w:right w:val="nil"/>
            </w:tcBorders>
            <w:shd w:val="clear" w:color="auto" w:fill="auto"/>
            <w:noWrap/>
            <w:vAlign w:val="center"/>
            <w:hideMark/>
          </w:tcPr>
          <w:p w14:paraId="00A9A4C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0.18</w:t>
            </w:r>
          </w:p>
        </w:tc>
        <w:tc>
          <w:tcPr>
            <w:tcW w:w="726" w:type="dxa"/>
            <w:tcBorders>
              <w:top w:val="nil"/>
              <w:left w:val="nil"/>
              <w:bottom w:val="nil"/>
              <w:right w:val="nil"/>
            </w:tcBorders>
            <w:shd w:val="clear" w:color="000000" w:fill="FCE4E7"/>
            <w:noWrap/>
            <w:vAlign w:val="center"/>
            <w:hideMark/>
          </w:tcPr>
          <w:p w14:paraId="0723E34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06D1F07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0.40</w:t>
            </w:r>
          </w:p>
        </w:tc>
        <w:tc>
          <w:tcPr>
            <w:tcW w:w="531" w:type="dxa"/>
            <w:tcBorders>
              <w:top w:val="nil"/>
              <w:left w:val="nil"/>
              <w:bottom w:val="nil"/>
              <w:right w:val="nil"/>
            </w:tcBorders>
            <w:shd w:val="clear" w:color="auto" w:fill="auto"/>
            <w:noWrap/>
            <w:vAlign w:val="center"/>
            <w:hideMark/>
          </w:tcPr>
          <w:p w14:paraId="3F0389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0.43</w:t>
            </w:r>
          </w:p>
        </w:tc>
        <w:tc>
          <w:tcPr>
            <w:tcW w:w="726" w:type="dxa"/>
            <w:tcBorders>
              <w:top w:val="nil"/>
              <w:left w:val="nil"/>
              <w:bottom w:val="nil"/>
              <w:right w:val="nil"/>
            </w:tcBorders>
            <w:shd w:val="clear" w:color="000000" w:fill="FCE8EB"/>
            <w:noWrap/>
            <w:vAlign w:val="center"/>
            <w:hideMark/>
          </w:tcPr>
          <w:p w14:paraId="05AD51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7</w:t>
            </w:r>
          </w:p>
        </w:tc>
        <w:tc>
          <w:tcPr>
            <w:tcW w:w="527" w:type="dxa"/>
            <w:tcBorders>
              <w:top w:val="nil"/>
              <w:left w:val="nil"/>
              <w:bottom w:val="nil"/>
              <w:right w:val="nil"/>
            </w:tcBorders>
            <w:shd w:val="clear" w:color="auto" w:fill="auto"/>
            <w:noWrap/>
            <w:vAlign w:val="center"/>
            <w:hideMark/>
          </w:tcPr>
          <w:p w14:paraId="6529510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79</w:t>
            </w:r>
          </w:p>
        </w:tc>
        <w:tc>
          <w:tcPr>
            <w:tcW w:w="517" w:type="dxa"/>
            <w:tcBorders>
              <w:top w:val="nil"/>
              <w:left w:val="nil"/>
              <w:bottom w:val="nil"/>
              <w:right w:val="nil"/>
            </w:tcBorders>
            <w:shd w:val="clear" w:color="auto" w:fill="auto"/>
            <w:noWrap/>
            <w:vAlign w:val="center"/>
            <w:hideMark/>
          </w:tcPr>
          <w:p w14:paraId="7D15CA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86</w:t>
            </w:r>
          </w:p>
        </w:tc>
        <w:tc>
          <w:tcPr>
            <w:tcW w:w="726" w:type="dxa"/>
            <w:tcBorders>
              <w:top w:val="nil"/>
              <w:left w:val="nil"/>
              <w:bottom w:val="nil"/>
              <w:right w:val="nil"/>
            </w:tcBorders>
            <w:shd w:val="clear" w:color="000000" w:fill="FCE1E3"/>
            <w:noWrap/>
            <w:vAlign w:val="center"/>
            <w:hideMark/>
          </w:tcPr>
          <w:p w14:paraId="481453E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w:t>
            </w:r>
          </w:p>
        </w:tc>
      </w:tr>
      <w:tr w:rsidR="00404DE7" w:rsidRPr="00404DE7" w14:paraId="5B739197" w14:textId="77777777" w:rsidTr="00404DE7">
        <w:trPr>
          <w:trHeight w:val="290"/>
          <w:jc w:val="center"/>
        </w:trPr>
        <w:tc>
          <w:tcPr>
            <w:tcW w:w="726" w:type="dxa"/>
            <w:vMerge/>
            <w:tcBorders>
              <w:left w:val="nil"/>
              <w:right w:val="nil"/>
            </w:tcBorders>
            <w:shd w:val="clear" w:color="auto" w:fill="auto"/>
            <w:noWrap/>
            <w:vAlign w:val="center"/>
            <w:hideMark/>
          </w:tcPr>
          <w:p w14:paraId="11649B14" w14:textId="4C373EF1"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5B9DFD65" w14:textId="6EC6F839"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w:t>
            </w:r>
            <w:r w:rsidRPr="00404DE7">
              <w:rPr>
                <w:rFonts w:eastAsia="Times New Roman" w:cs="Times New Roman"/>
                <w:color w:val="000000"/>
                <w:sz w:val="18"/>
                <w:szCs w:val="18"/>
              </w:rPr>
              <w:t>aumee</w:t>
            </w:r>
          </w:p>
        </w:tc>
        <w:tc>
          <w:tcPr>
            <w:tcW w:w="537" w:type="dxa"/>
            <w:tcBorders>
              <w:top w:val="nil"/>
              <w:left w:val="nil"/>
              <w:bottom w:val="nil"/>
              <w:right w:val="nil"/>
            </w:tcBorders>
            <w:shd w:val="clear" w:color="auto" w:fill="auto"/>
            <w:noWrap/>
            <w:vAlign w:val="center"/>
            <w:hideMark/>
          </w:tcPr>
          <w:p w14:paraId="570EEF3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0.10</w:t>
            </w:r>
          </w:p>
        </w:tc>
        <w:tc>
          <w:tcPr>
            <w:tcW w:w="531" w:type="dxa"/>
            <w:tcBorders>
              <w:top w:val="nil"/>
              <w:left w:val="nil"/>
              <w:bottom w:val="nil"/>
              <w:right w:val="nil"/>
            </w:tcBorders>
            <w:shd w:val="clear" w:color="auto" w:fill="auto"/>
            <w:noWrap/>
            <w:vAlign w:val="center"/>
            <w:hideMark/>
          </w:tcPr>
          <w:p w14:paraId="72FB336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726" w:type="dxa"/>
            <w:tcBorders>
              <w:top w:val="nil"/>
              <w:left w:val="nil"/>
              <w:bottom w:val="nil"/>
              <w:right w:val="nil"/>
            </w:tcBorders>
            <w:shd w:val="clear" w:color="000000" w:fill="FBD5D8"/>
            <w:noWrap/>
            <w:vAlign w:val="center"/>
            <w:hideMark/>
          </w:tcPr>
          <w:p w14:paraId="29EF888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w:t>
            </w:r>
          </w:p>
        </w:tc>
        <w:tc>
          <w:tcPr>
            <w:tcW w:w="531" w:type="dxa"/>
            <w:tcBorders>
              <w:top w:val="nil"/>
              <w:left w:val="nil"/>
              <w:bottom w:val="nil"/>
              <w:right w:val="nil"/>
            </w:tcBorders>
            <w:shd w:val="clear" w:color="auto" w:fill="auto"/>
            <w:noWrap/>
            <w:vAlign w:val="center"/>
            <w:hideMark/>
          </w:tcPr>
          <w:p w14:paraId="6556619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0.31</w:t>
            </w:r>
          </w:p>
        </w:tc>
        <w:tc>
          <w:tcPr>
            <w:tcW w:w="531" w:type="dxa"/>
            <w:tcBorders>
              <w:top w:val="nil"/>
              <w:left w:val="nil"/>
              <w:bottom w:val="nil"/>
              <w:right w:val="nil"/>
            </w:tcBorders>
            <w:shd w:val="clear" w:color="auto" w:fill="auto"/>
            <w:noWrap/>
            <w:vAlign w:val="center"/>
            <w:hideMark/>
          </w:tcPr>
          <w:p w14:paraId="3DE9B11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0.35</w:t>
            </w:r>
          </w:p>
        </w:tc>
        <w:tc>
          <w:tcPr>
            <w:tcW w:w="726" w:type="dxa"/>
            <w:tcBorders>
              <w:top w:val="nil"/>
              <w:left w:val="nil"/>
              <w:bottom w:val="nil"/>
              <w:right w:val="nil"/>
            </w:tcBorders>
            <w:shd w:val="clear" w:color="000000" w:fill="FBD2D4"/>
            <w:noWrap/>
            <w:vAlign w:val="center"/>
            <w:hideMark/>
          </w:tcPr>
          <w:p w14:paraId="493ADE9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727B66D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89</w:t>
            </w:r>
          </w:p>
        </w:tc>
        <w:tc>
          <w:tcPr>
            <w:tcW w:w="517" w:type="dxa"/>
            <w:tcBorders>
              <w:top w:val="nil"/>
              <w:left w:val="nil"/>
              <w:bottom w:val="nil"/>
              <w:right w:val="nil"/>
            </w:tcBorders>
            <w:shd w:val="clear" w:color="auto" w:fill="auto"/>
            <w:noWrap/>
            <w:vAlign w:val="center"/>
            <w:hideMark/>
          </w:tcPr>
          <w:p w14:paraId="0325CB6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101</w:t>
            </w:r>
          </w:p>
        </w:tc>
        <w:tc>
          <w:tcPr>
            <w:tcW w:w="726" w:type="dxa"/>
            <w:tcBorders>
              <w:top w:val="nil"/>
              <w:left w:val="nil"/>
              <w:bottom w:val="nil"/>
              <w:right w:val="nil"/>
            </w:tcBorders>
            <w:shd w:val="clear" w:color="000000" w:fill="FBD2D4"/>
            <w:noWrap/>
            <w:vAlign w:val="center"/>
            <w:hideMark/>
          </w:tcPr>
          <w:p w14:paraId="5BF830C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r>
      <w:tr w:rsidR="00404DE7" w:rsidRPr="00404DE7" w14:paraId="7FB86A2A"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BA53C26" w14:textId="52A746C1"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0D01660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09B40D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0.05</w:t>
            </w:r>
          </w:p>
        </w:tc>
        <w:tc>
          <w:tcPr>
            <w:tcW w:w="531" w:type="dxa"/>
            <w:tcBorders>
              <w:top w:val="nil"/>
              <w:left w:val="nil"/>
              <w:bottom w:val="single" w:sz="4" w:space="0" w:color="auto"/>
              <w:right w:val="nil"/>
            </w:tcBorders>
            <w:shd w:val="clear" w:color="auto" w:fill="auto"/>
            <w:noWrap/>
            <w:vAlign w:val="center"/>
            <w:hideMark/>
          </w:tcPr>
          <w:p w14:paraId="5B8479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0.05</w:t>
            </w:r>
          </w:p>
        </w:tc>
        <w:tc>
          <w:tcPr>
            <w:tcW w:w="726" w:type="dxa"/>
            <w:tcBorders>
              <w:top w:val="nil"/>
              <w:left w:val="nil"/>
              <w:bottom w:val="single" w:sz="4" w:space="0" w:color="auto"/>
              <w:right w:val="nil"/>
            </w:tcBorders>
            <w:shd w:val="clear" w:color="000000" w:fill="FCF3F6"/>
            <w:noWrap/>
            <w:vAlign w:val="center"/>
            <w:hideMark/>
          </w:tcPr>
          <w:p w14:paraId="042E6AA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w:t>
            </w:r>
          </w:p>
        </w:tc>
        <w:tc>
          <w:tcPr>
            <w:tcW w:w="531" w:type="dxa"/>
            <w:tcBorders>
              <w:top w:val="nil"/>
              <w:left w:val="nil"/>
              <w:bottom w:val="single" w:sz="4" w:space="0" w:color="auto"/>
              <w:right w:val="nil"/>
            </w:tcBorders>
            <w:shd w:val="clear" w:color="auto" w:fill="auto"/>
            <w:noWrap/>
            <w:vAlign w:val="center"/>
            <w:hideMark/>
          </w:tcPr>
          <w:p w14:paraId="03BE167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531" w:type="dxa"/>
            <w:tcBorders>
              <w:top w:val="nil"/>
              <w:left w:val="nil"/>
              <w:bottom w:val="single" w:sz="4" w:space="0" w:color="auto"/>
              <w:right w:val="nil"/>
            </w:tcBorders>
            <w:shd w:val="clear" w:color="auto" w:fill="auto"/>
            <w:noWrap/>
            <w:vAlign w:val="center"/>
            <w:hideMark/>
          </w:tcPr>
          <w:p w14:paraId="2E704A2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726" w:type="dxa"/>
            <w:tcBorders>
              <w:top w:val="nil"/>
              <w:left w:val="nil"/>
              <w:bottom w:val="single" w:sz="4" w:space="0" w:color="auto"/>
              <w:right w:val="nil"/>
            </w:tcBorders>
            <w:shd w:val="clear" w:color="000000" w:fill="E3F2E9"/>
            <w:noWrap/>
            <w:vAlign w:val="center"/>
            <w:hideMark/>
          </w:tcPr>
          <w:p w14:paraId="24DA07E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w:t>
            </w:r>
          </w:p>
        </w:tc>
        <w:tc>
          <w:tcPr>
            <w:tcW w:w="527" w:type="dxa"/>
            <w:tcBorders>
              <w:top w:val="nil"/>
              <w:left w:val="nil"/>
              <w:bottom w:val="single" w:sz="4" w:space="0" w:color="auto"/>
              <w:right w:val="nil"/>
            </w:tcBorders>
            <w:shd w:val="clear" w:color="auto" w:fill="auto"/>
            <w:noWrap/>
            <w:vAlign w:val="center"/>
            <w:hideMark/>
          </w:tcPr>
          <w:p w14:paraId="5B6EBA5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40</w:t>
            </w:r>
          </w:p>
        </w:tc>
        <w:tc>
          <w:tcPr>
            <w:tcW w:w="517" w:type="dxa"/>
            <w:tcBorders>
              <w:top w:val="nil"/>
              <w:left w:val="nil"/>
              <w:bottom w:val="single" w:sz="4" w:space="0" w:color="auto"/>
              <w:right w:val="nil"/>
            </w:tcBorders>
            <w:shd w:val="clear" w:color="auto" w:fill="auto"/>
            <w:noWrap/>
            <w:vAlign w:val="center"/>
            <w:hideMark/>
          </w:tcPr>
          <w:p w14:paraId="41EF21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36</w:t>
            </w:r>
          </w:p>
        </w:tc>
        <w:tc>
          <w:tcPr>
            <w:tcW w:w="726" w:type="dxa"/>
            <w:tcBorders>
              <w:top w:val="nil"/>
              <w:left w:val="nil"/>
              <w:bottom w:val="single" w:sz="4" w:space="0" w:color="auto"/>
              <w:right w:val="nil"/>
            </w:tcBorders>
            <w:shd w:val="clear" w:color="000000" w:fill="C9E7D3"/>
            <w:noWrap/>
            <w:vAlign w:val="center"/>
            <w:hideMark/>
          </w:tcPr>
          <w:p w14:paraId="0DDD595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r>
    </w:tbl>
    <w:p w14:paraId="74BCB1BC" w14:textId="77777777" w:rsidR="00B42E24" w:rsidRPr="00B42E24" w:rsidRDefault="00B42E24" w:rsidP="00B42E24"/>
    <w:p w14:paraId="15734AAA" w14:textId="1593D20F" w:rsidR="00665B3B" w:rsidRDefault="00D9268F" w:rsidP="001F0266">
      <w:pPr>
        <w:pStyle w:val="Heading2"/>
      </w:pPr>
      <w:r>
        <w:t xml:space="preserve">Annual </w:t>
      </w:r>
      <w:r w:rsidR="00815390">
        <w:t>flow-normalized trends</w:t>
      </w:r>
      <w:r w:rsidR="00E42991">
        <w:t>, 200</w:t>
      </w:r>
      <w:r w:rsidR="00A72C7F">
        <w:t>8</w:t>
      </w:r>
      <w:r w:rsidR="00E42991">
        <w:t>-202</w:t>
      </w:r>
      <w:r w:rsidR="00A72C7F">
        <w:t>2</w:t>
      </w:r>
    </w:p>
    <w:p w14:paraId="54DC5A66" w14:textId="285DCFD6" w:rsidR="00815390" w:rsidRPr="00815390" w:rsidRDefault="00815390" w:rsidP="00815390">
      <w:pPr>
        <w:pStyle w:val="Heading3"/>
      </w:pPr>
      <w:r>
        <w:t>S</w:t>
      </w:r>
      <w:r w:rsidR="00D610D2">
        <w:t>oluble Reactive Phosphorus</w:t>
      </w:r>
    </w:p>
    <w:p w14:paraId="05A5C1DC" w14:textId="231BBAEA" w:rsidR="008A7740" w:rsidRDefault="00474CA1" w:rsidP="00EE6865">
      <w:pPr>
        <w:ind w:firstLine="720"/>
      </w:pPr>
      <w:r>
        <w:t xml:space="preserve">The </w:t>
      </w:r>
      <w:r w:rsidR="00815390">
        <w:t>Blanchard</w:t>
      </w:r>
      <w:r w:rsidR="00134E80">
        <w:t xml:space="preserve"> </w:t>
      </w:r>
      <w:r w:rsidR="009B64EB">
        <w:t xml:space="preserve">River </w:t>
      </w:r>
      <w:r w:rsidR="00134E80">
        <w:t xml:space="preserve">had a </w:t>
      </w:r>
      <w:r w:rsidR="009B64EB">
        <w:t xml:space="preserve">128% increase </w:t>
      </w:r>
      <w:r w:rsidR="00D0235F">
        <w:t>in</w:t>
      </w:r>
      <w:r w:rsidR="009B64EB">
        <w:t xml:space="preserve"> </w:t>
      </w:r>
      <w:r w:rsidR="00D0235F">
        <w:t>annual FN SRP</w:t>
      </w:r>
      <w:r w:rsidR="009B64EB">
        <w:t xml:space="preserve"> concentrations and a 33% increase in the annual FN SRP load. Mean</w:t>
      </w:r>
      <w:r w:rsidR="00815390">
        <w:t>whi</w:t>
      </w:r>
      <w:r w:rsidR="009B64EB">
        <w:t>l</w:t>
      </w:r>
      <w:r w:rsidR="00815390">
        <w:t>e</w:t>
      </w:r>
      <w:r w:rsidR="009B64EB">
        <w:t>, the</w:t>
      </w:r>
      <w:r w:rsidR="00815390">
        <w:t xml:space="preserve"> Tiffin</w:t>
      </w:r>
      <w:r w:rsidR="009B64EB">
        <w:t xml:space="preserve"> River</w:t>
      </w:r>
      <w:r w:rsidR="00815390">
        <w:t xml:space="preserve"> had</w:t>
      </w:r>
      <w:r w:rsidR="009B64EB">
        <w:t xml:space="preserve"> a 7% decrease in both FN SRP concentration and FN SRP load (Table 4, Figure 1). In the Maumee River, there was</w:t>
      </w:r>
      <w:r w:rsidR="00AB4E67">
        <w:t xml:space="preserve"> slight 0.5%</w:t>
      </w:r>
      <w:r w:rsidR="009B64EB">
        <w:t xml:space="preserve"> increase in annual FN SRP concentration, but a 6% decrease in annual FN SRP load. Compared to the Ohio sites, the Raisin</w:t>
      </w:r>
      <w:r w:rsidR="00D610D2">
        <w:t xml:space="preserve"> River displayed 69 and 21% increases in FN SRP concentration and loads, respectively.</w:t>
      </w:r>
    </w:p>
    <w:p w14:paraId="79DE78CC" w14:textId="03ABDD8E" w:rsidR="006D30C9" w:rsidRDefault="006D30C9" w:rsidP="00EE6865">
      <w:pPr>
        <w:ind w:firstLine="720"/>
      </w:pPr>
    </w:p>
    <w:p w14:paraId="735F4602" w14:textId="77777777" w:rsidR="006D30C9" w:rsidRDefault="006D30C9" w:rsidP="00EE6865">
      <w:pPr>
        <w:ind w:firstLine="720"/>
      </w:pPr>
    </w:p>
    <w:p w14:paraId="6321A272" w14:textId="1123CE47" w:rsidR="0073503F" w:rsidRDefault="0073503F" w:rsidP="005F0409">
      <w:pPr>
        <w:pStyle w:val="Caption"/>
      </w:pPr>
      <w:r>
        <w:lastRenderedPageBreak/>
        <w:t xml:space="preserve">Table </w:t>
      </w:r>
      <w:r w:rsidR="009B64EB">
        <w:t>4</w:t>
      </w:r>
      <w:r>
        <w:t>:</w:t>
      </w:r>
      <w:r w:rsidR="005F0409">
        <w:t xml:space="preserve"> SRP trends from 200</w:t>
      </w:r>
      <w:r w:rsidR="002367D4">
        <w:t>8</w:t>
      </w:r>
      <w:r w:rsidR="005F0409">
        <w:t xml:space="preserve"> to 202</w:t>
      </w:r>
      <w:r w:rsidR="002367D4">
        <w:t>2</w:t>
      </w:r>
      <w:r w:rsidR="005F0409">
        <w:t>.</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4536A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4536A7" w:rsidRDefault="004536A7" w:rsidP="00676083">
            <w:pPr>
              <w:spacing w:line="240" w:lineRule="auto"/>
              <w:jc w:val="center"/>
              <w:rPr>
                <w:rFonts w:cs="Times New Roman"/>
                <w:sz w:val="16"/>
                <w:szCs w:val="16"/>
              </w:rPr>
            </w:pPr>
            <w:r w:rsidRPr="004536A7">
              <w:rPr>
                <w:rFonts w:cs="Times New Roman"/>
                <w:sz w:val="16"/>
                <w:szCs w:val="16"/>
              </w:rPr>
              <w:t>Site</w:t>
            </w:r>
          </w:p>
        </w:tc>
        <w:tc>
          <w:tcPr>
            <w:tcW w:w="3600" w:type="dxa"/>
            <w:gridSpan w:val="3"/>
          </w:tcPr>
          <w:p w14:paraId="025A3DF1" w14:textId="61B146DE"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entration of SRP</w:t>
            </w:r>
          </w:p>
        </w:tc>
        <w:tc>
          <w:tcPr>
            <w:tcW w:w="4801" w:type="dxa"/>
            <w:gridSpan w:val="4"/>
          </w:tcPr>
          <w:p w14:paraId="5ECE741E" w14:textId="5AC12AF8"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SRP</w:t>
            </w:r>
          </w:p>
        </w:tc>
      </w:tr>
      <w:tr w:rsidR="004536A7" w:rsidRPr="004536A7" w14:paraId="3B25B8B7" w14:textId="77777777" w:rsidTr="00EF05F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4536A7" w:rsidRDefault="004536A7" w:rsidP="00676083">
            <w:pPr>
              <w:spacing w:line="240" w:lineRule="auto"/>
              <w:jc w:val="center"/>
              <w:rPr>
                <w:rFonts w:cs="Times New Roman"/>
                <w:sz w:val="16"/>
                <w:szCs w:val="16"/>
              </w:rPr>
            </w:pPr>
          </w:p>
        </w:tc>
        <w:tc>
          <w:tcPr>
            <w:tcW w:w="1199" w:type="dxa"/>
            <w:vMerge w:val="restart"/>
          </w:tcPr>
          <w:p w14:paraId="139AEDD9" w14:textId="1DA4066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w:t>
            </w:r>
            <w:r w:rsidR="00C21CEB">
              <w:rPr>
                <w:rFonts w:cs="Times New Roman"/>
                <w:sz w:val="16"/>
                <w:szCs w:val="16"/>
              </w:rPr>
              <w:t>8</w:t>
            </w:r>
            <w:r w:rsidRPr="004536A7">
              <w:rPr>
                <w:rFonts w:cs="Times New Roman"/>
                <w:sz w:val="16"/>
                <w:szCs w:val="16"/>
              </w:rPr>
              <w:t>, mg/L</w:t>
            </w:r>
          </w:p>
        </w:tc>
        <w:tc>
          <w:tcPr>
            <w:tcW w:w="2401" w:type="dxa"/>
            <w:gridSpan w:val="2"/>
          </w:tcPr>
          <w:p w14:paraId="4A98482E" w14:textId="5116875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w:t>
            </w:r>
            <w:r w:rsidR="00C21CEB">
              <w:rPr>
                <w:rFonts w:cs="Times New Roman"/>
                <w:sz w:val="16"/>
                <w:szCs w:val="16"/>
              </w:rPr>
              <w:t>08</w:t>
            </w:r>
            <w:r w:rsidRPr="004536A7">
              <w:rPr>
                <w:rFonts w:cs="Times New Roman"/>
                <w:sz w:val="16"/>
                <w:szCs w:val="16"/>
              </w:rPr>
              <w:t xml:space="preserve"> - 202</w:t>
            </w:r>
            <w:r w:rsidR="00C21CEB">
              <w:rPr>
                <w:rFonts w:cs="Times New Roman"/>
                <w:sz w:val="16"/>
                <w:szCs w:val="16"/>
              </w:rPr>
              <w:t>2</w:t>
            </w:r>
          </w:p>
        </w:tc>
        <w:tc>
          <w:tcPr>
            <w:tcW w:w="1200" w:type="dxa"/>
            <w:vMerge w:val="restart"/>
          </w:tcPr>
          <w:p w14:paraId="4F15E7C0" w14:textId="5BB522E8"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w:t>
            </w:r>
            <w:r w:rsidR="00C21CEB">
              <w:rPr>
                <w:rFonts w:cs="Times New Roman"/>
                <w:sz w:val="16"/>
                <w:szCs w:val="16"/>
              </w:rPr>
              <w:t>8</w:t>
            </w:r>
            <w:r w:rsidRPr="004536A7">
              <w:rPr>
                <w:rFonts w:cs="Times New Roman"/>
                <w:sz w:val="16"/>
                <w:szCs w:val="16"/>
              </w:rPr>
              <w:t>, metric ton/yr</w:t>
            </w:r>
          </w:p>
        </w:tc>
        <w:tc>
          <w:tcPr>
            <w:tcW w:w="1200" w:type="dxa"/>
            <w:vMerge w:val="restart"/>
          </w:tcPr>
          <w:p w14:paraId="16687ED4" w14:textId="282BD78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sidR="00C21CEB">
              <w:rPr>
                <w:rFonts w:cs="Times New Roman"/>
                <w:sz w:val="16"/>
                <w:szCs w:val="16"/>
              </w:rPr>
              <w:t>8</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401" w:type="dxa"/>
            <w:gridSpan w:val="2"/>
          </w:tcPr>
          <w:p w14:paraId="54B4E799" w14:textId="4D7452A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sidR="00C21CEB">
              <w:rPr>
                <w:rFonts w:cs="Times New Roman"/>
                <w:sz w:val="16"/>
                <w:szCs w:val="16"/>
              </w:rPr>
              <w:t>8</w:t>
            </w:r>
            <w:r w:rsidRPr="004536A7">
              <w:rPr>
                <w:rFonts w:cs="Times New Roman"/>
                <w:sz w:val="16"/>
                <w:szCs w:val="16"/>
              </w:rPr>
              <w:t>-202</w:t>
            </w:r>
            <w:r w:rsidR="00C21CEB">
              <w:rPr>
                <w:rFonts w:cs="Times New Roman"/>
                <w:sz w:val="16"/>
                <w:szCs w:val="16"/>
              </w:rPr>
              <w:t>2</w:t>
            </w:r>
          </w:p>
        </w:tc>
      </w:tr>
      <w:tr w:rsidR="004536A7" w:rsidRPr="004536A7" w14:paraId="3D39AB6C" w14:textId="77777777" w:rsidTr="00EF05F9">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4536A7" w:rsidRDefault="004536A7" w:rsidP="00676083">
            <w:pPr>
              <w:spacing w:line="240" w:lineRule="auto"/>
              <w:jc w:val="center"/>
              <w:rPr>
                <w:rFonts w:cs="Times New Roman"/>
                <w:sz w:val="16"/>
                <w:szCs w:val="16"/>
              </w:rPr>
            </w:pPr>
          </w:p>
        </w:tc>
        <w:tc>
          <w:tcPr>
            <w:tcW w:w="1199" w:type="dxa"/>
            <w:vMerge/>
          </w:tcPr>
          <w:p w14:paraId="04D61E7E" w14:textId="2016299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201" w:type="dxa"/>
          </w:tcPr>
          <w:p w14:paraId="652B17DD" w14:textId="6F5B3E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200" w:type="dxa"/>
            <w:vMerge/>
          </w:tcPr>
          <w:p w14:paraId="413F6721" w14:textId="1D6D18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56DCF6BE" w:rsidR="004536A7" w:rsidRPr="004536A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kg/km</w:t>
            </w:r>
            <w:r>
              <w:rPr>
                <w:rFonts w:cs="Times New Roman"/>
                <w:sz w:val="16"/>
                <w:szCs w:val="16"/>
                <w:vertAlign w:val="superscript"/>
              </w:rPr>
              <w:t>2</w:t>
            </w:r>
          </w:p>
        </w:tc>
        <w:tc>
          <w:tcPr>
            <w:tcW w:w="1201" w:type="dxa"/>
          </w:tcPr>
          <w:p w14:paraId="0952815E" w14:textId="0008E70A"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4536A7" w:rsidRPr="004536A7" w14:paraId="3FB4D636" w14:textId="77777777" w:rsidTr="00EF05F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2D60F89C" w:rsidR="004536A7" w:rsidRPr="004536A7" w:rsidRDefault="004536A7" w:rsidP="00676083">
            <w:pPr>
              <w:spacing w:line="240" w:lineRule="auto"/>
              <w:rPr>
                <w:rFonts w:cs="Times New Roman"/>
                <w:sz w:val="16"/>
                <w:szCs w:val="16"/>
              </w:rPr>
            </w:pPr>
            <w:r w:rsidRPr="004536A7">
              <w:rPr>
                <w:rFonts w:cs="Times New Roman"/>
                <w:sz w:val="16"/>
                <w:szCs w:val="16"/>
              </w:rPr>
              <w:t>Tiffin</w:t>
            </w:r>
          </w:p>
        </w:tc>
        <w:tc>
          <w:tcPr>
            <w:tcW w:w="1199" w:type="dxa"/>
          </w:tcPr>
          <w:p w14:paraId="586DDC85" w14:textId="6D6303BD"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200" w:type="dxa"/>
          </w:tcPr>
          <w:p w14:paraId="09B1CE62" w14:textId="42D9D345" w:rsidR="004536A7" w:rsidRPr="004536A7" w:rsidRDefault="00143A3B"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-0.004</w:t>
            </w:r>
          </w:p>
        </w:tc>
        <w:tc>
          <w:tcPr>
            <w:tcW w:w="1201" w:type="dxa"/>
          </w:tcPr>
          <w:p w14:paraId="054746F1" w14:textId="1526C4F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143A3B">
              <w:rPr>
                <w:rFonts w:cs="Times New Roman"/>
                <w:color w:val="000000"/>
                <w:sz w:val="16"/>
                <w:szCs w:val="16"/>
              </w:rPr>
              <w:t>7</w:t>
            </w:r>
          </w:p>
        </w:tc>
        <w:tc>
          <w:tcPr>
            <w:tcW w:w="1200" w:type="dxa"/>
          </w:tcPr>
          <w:p w14:paraId="1A794E04" w14:textId="3A1CC8C6"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25</w:t>
            </w:r>
          </w:p>
        </w:tc>
        <w:tc>
          <w:tcPr>
            <w:tcW w:w="1200" w:type="dxa"/>
          </w:tcPr>
          <w:p w14:paraId="3AB2A75A" w14:textId="6DFD0FEE" w:rsidR="004536A7" w:rsidRPr="00E709B2"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2</w:t>
            </w:r>
            <w:r w:rsidR="00E709B2">
              <w:rPr>
                <w:rFonts w:cs="Times New Roman"/>
                <w:sz w:val="16"/>
                <w:szCs w:val="16"/>
              </w:rPr>
              <w:t>4</w:t>
            </w:r>
          </w:p>
        </w:tc>
        <w:tc>
          <w:tcPr>
            <w:tcW w:w="1200" w:type="dxa"/>
          </w:tcPr>
          <w:p w14:paraId="72CAEE80" w14:textId="30041C2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6979D8">
              <w:rPr>
                <w:rFonts w:cs="Times New Roman"/>
                <w:color w:val="000000"/>
                <w:sz w:val="16"/>
                <w:szCs w:val="16"/>
              </w:rPr>
              <w:t>2</w:t>
            </w:r>
          </w:p>
        </w:tc>
        <w:tc>
          <w:tcPr>
            <w:tcW w:w="1201" w:type="dxa"/>
          </w:tcPr>
          <w:p w14:paraId="6E2C974A" w14:textId="06F9D113"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143A3B">
              <w:rPr>
                <w:rFonts w:cs="Times New Roman"/>
                <w:color w:val="000000"/>
                <w:sz w:val="16"/>
                <w:szCs w:val="16"/>
              </w:rPr>
              <w:t>7</w:t>
            </w:r>
          </w:p>
        </w:tc>
      </w:tr>
      <w:tr w:rsidR="004536A7" w:rsidRPr="004536A7" w14:paraId="139F5E5E" w14:textId="77777777" w:rsidTr="00EF05F9">
        <w:trPr>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014E209C" w:rsidR="004536A7" w:rsidRPr="004536A7" w:rsidRDefault="004536A7" w:rsidP="00676083">
            <w:pPr>
              <w:spacing w:line="240" w:lineRule="auto"/>
              <w:rPr>
                <w:rFonts w:cs="Times New Roman"/>
                <w:sz w:val="16"/>
                <w:szCs w:val="16"/>
              </w:rPr>
            </w:pPr>
            <w:r w:rsidRPr="004536A7">
              <w:rPr>
                <w:rFonts w:cs="Times New Roman"/>
                <w:sz w:val="16"/>
                <w:szCs w:val="16"/>
              </w:rPr>
              <w:t>Blanchard</w:t>
            </w:r>
          </w:p>
        </w:tc>
        <w:tc>
          <w:tcPr>
            <w:tcW w:w="1199" w:type="dxa"/>
          </w:tcPr>
          <w:p w14:paraId="3FBBDEB1" w14:textId="6B1A45AE"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143A3B">
              <w:rPr>
                <w:rFonts w:cs="Times New Roman"/>
                <w:color w:val="000000"/>
                <w:sz w:val="16"/>
                <w:szCs w:val="16"/>
              </w:rPr>
              <w:t>0</w:t>
            </w:r>
          </w:p>
        </w:tc>
        <w:tc>
          <w:tcPr>
            <w:tcW w:w="1200" w:type="dxa"/>
          </w:tcPr>
          <w:p w14:paraId="255B047E" w14:textId="3A5063A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143A3B">
              <w:rPr>
                <w:rFonts w:cs="Times New Roman"/>
                <w:color w:val="000000"/>
                <w:sz w:val="16"/>
                <w:szCs w:val="16"/>
              </w:rPr>
              <w:t>3</w:t>
            </w:r>
          </w:p>
        </w:tc>
        <w:tc>
          <w:tcPr>
            <w:tcW w:w="1201" w:type="dxa"/>
          </w:tcPr>
          <w:p w14:paraId="2FC82799" w14:textId="0768F258"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w:t>
            </w:r>
            <w:r w:rsidR="00143A3B">
              <w:rPr>
                <w:rFonts w:cs="Times New Roman"/>
                <w:color w:val="000000"/>
                <w:sz w:val="16"/>
                <w:szCs w:val="16"/>
              </w:rPr>
              <w:t>28</w:t>
            </w:r>
          </w:p>
        </w:tc>
        <w:tc>
          <w:tcPr>
            <w:tcW w:w="1200" w:type="dxa"/>
          </w:tcPr>
          <w:p w14:paraId="2CA3D98C" w14:textId="79ACF2A0"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3</w:t>
            </w:r>
            <w:r w:rsidR="00E709B2">
              <w:rPr>
                <w:rFonts w:cs="Times New Roman"/>
                <w:color w:val="000000"/>
                <w:sz w:val="16"/>
                <w:szCs w:val="16"/>
              </w:rPr>
              <w:t>8</w:t>
            </w:r>
          </w:p>
        </w:tc>
        <w:tc>
          <w:tcPr>
            <w:tcW w:w="1200" w:type="dxa"/>
          </w:tcPr>
          <w:p w14:paraId="24DD95D8" w14:textId="26D08892" w:rsidR="004536A7" w:rsidRPr="00E709B2"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42</w:t>
            </w:r>
          </w:p>
        </w:tc>
        <w:tc>
          <w:tcPr>
            <w:tcW w:w="1200" w:type="dxa"/>
          </w:tcPr>
          <w:p w14:paraId="63CA4BF8" w14:textId="6B32D20B" w:rsidR="004536A7" w:rsidRPr="004536A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201" w:type="dxa"/>
          </w:tcPr>
          <w:p w14:paraId="62D15464" w14:textId="73BEE211" w:rsidR="004536A7" w:rsidRPr="004536A7" w:rsidRDefault="00143A3B"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33</w:t>
            </w:r>
          </w:p>
        </w:tc>
      </w:tr>
      <w:tr w:rsidR="00256327" w:rsidRPr="004536A7" w14:paraId="5BC473F8"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46434B8B" w14:textId="4BCBA0E4" w:rsidR="00256327" w:rsidRDefault="00256327" w:rsidP="00256327">
            <w:pPr>
              <w:spacing w:line="240" w:lineRule="auto"/>
              <w:rPr>
                <w:rFonts w:cs="Times New Roman"/>
                <w:sz w:val="16"/>
                <w:szCs w:val="16"/>
              </w:rPr>
            </w:pPr>
            <w:r w:rsidRPr="004536A7">
              <w:rPr>
                <w:rFonts w:cs="Times New Roman"/>
                <w:sz w:val="16"/>
                <w:szCs w:val="16"/>
              </w:rPr>
              <w:t>Maumee</w:t>
            </w:r>
          </w:p>
        </w:tc>
        <w:tc>
          <w:tcPr>
            <w:tcW w:w="1199" w:type="dxa"/>
          </w:tcPr>
          <w:p w14:paraId="1EB5EA1E" w14:textId="5DE8214B"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4536A7">
              <w:rPr>
                <w:rFonts w:cs="Times New Roman"/>
                <w:color w:val="000000"/>
                <w:sz w:val="16"/>
                <w:szCs w:val="16"/>
              </w:rPr>
              <w:t>0.07</w:t>
            </w:r>
          </w:p>
        </w:tc>
        <w:tc>
          <w:tcPr>
            <w:tcW w:w="1200" w:type="dxa"/>
          </w:tcPr>
          <w:p w14:paraId="43E3337A" w14:textId="2D522B9D"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&lt;</w:t>
            </w:r>
            <w:r w:rsidRPr="004536A7">
              <w:rPr>
                <w:rFonts w:cs="Times New Roman"/>
                <w:color w:val="000000"/>
                <w:sz w:val="16"/>
                <w:szCs w:val="16"/>
              </w:rPr>
              <w:t>0.00</w:t>
            </w:r>
            <w:r>
              <w:rPr>
                <w:rFonts w:cs="Times New Roman"/>
                <w:color w:val="000000"/>
                <w:sz w:val="16"/>
                <w:szCs w:val="16"/>
              </w:rPr>
              <w:t>1</w:t>
            </w:r>
          </w:p>
        </w:tc>
        <w:tc>
          <w:tcPr>
            <w:tcW w:w="1201" w:type="dxa"/>
          </w:tcPr>
          <w:p w14:paraId="7E3A9A18" w14:textId="445FF90E"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sz w:val="16"/>
                <w:szCs w:val="16"/>
              </w:rPr>
              <w:t>0.5</w:t>
            </w:r>
          </w:p>
        </w:tc>
        <w:tc>
          <w:tcPr>
            <w:tcW w:w="1200" w:type="dxa"/>
          </w:tcPr>
          <w:p w14:paraId="29369590" w14:textId="30E271D1"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4536A7">
              <w:rPr>
                <w:rFonts w:cs="Times New Roman"/>
                <w:color w:val="000000"/>
                <w:sz w:val="16"/>
                <w:szCs w:val="16"/>
              </w:rPr>
              <w:t>60</w:t>
            </w:r>
            <w:r>
              <w:rPr>
                <w:rFonts w:cs="Times New Roman"/>
                <w:color w:val="000000"/>
                <w:sz w:val="16"/>
                <w:szCs w:val="16"/>
              </w:rPr>
              <w:t>1</w:t>
            </w:r>
          </w:p>
        </w:tc>
        <w:tc>
          <w:tcPr>
            <w:tcW w:w="1200" w:type="dxa"/>
          </w:tcPr>
          <w:p w14:paraId="2E147F1E" w14:textId="05D86174" w:rsidR="00256327" w:rsidRPr="00E709B2"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3</w:t>
            </w:r>
            <w:r w:rsidR="00E709B2">
              <w:rPr>
                <w:rFonts w:cs="Times New Roman"/>
                <w:sz w:val="16"/>
                <w:szCs w:val="16"/>
              </w:rPr>
              <w:t>7</w:t>
            </w:r>
          </w:p>
        </w:tc>
        <w:tc>
          <w:tcPr>
            <w:tcW w:w="1200" w:type="dxa"/>
          </w:tcPr>
          <w:p w14:paraId="635D7884" w14:textId="7173A279" w:rsidR="0025632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6979D8">
              <w:rPr>
                <w:rFonts w:cs="Times New Roman"/>
                <w:color w:val="000000"/>
                <w:sz w:val="16"/>
                <w:szCs w:val="16"/>
              </w:rPr>
              <w:t>2</w:t>
            </w:r>
          </w:p>
        </w:tc>
        <w:tc>
          <w:tcPr>
            <w:tcW w:w="1201" w:type="dxa"/>
          </w:tcPr>
          <w:p w14:paraId="13E538E5" w14:textId="237AC612" w:rsidR="0025632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Pr>
                <w:rFonts w:cs="Times New Roman"/>
                <w:color w:val="000000"/>
                <w:sz w:val="16"/>
                <w:szCs w:val="16"/>
              </w:rPr>
              <w:t>6</w:t>
            </w:r>
          </w:p>
        </w:tc>
      </w:tr>
      <w:tr w:rsidR="00256327" w:rsidRPr="004536A7" w14:paraId="72A1E469"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256327" w:rsidRPr="004536A7" w:rsidRDefault="00256327" w:rsidP="00256327">
            <w:pPr>
              <w:spacing w:line="240" w:lineRule="auto"/>
              <w:rPr>
                <w:rFonts w:cs="Times New Roman"/>
                <w:sz w:val="16"/>
                <w:szCs w:val="16"/>
              </w:rPr>
            </w:pPr>
            <w:r w:rsidRPr="004536A7">
              <w:rPr>
                <w:rFonts w:cs="Times New Roman"/>
                <w:sz w:val="16"/>
                <w:szCs w:val="16"/>
              </w:rPr>
              <w:t>Raisin</w:t>
            </w:r>
          </w:p>
        </w:tc>
        <w:tc>
          <w:tcPr>
            <w:tcW w:w="1199" w:type="dxa"/>
          </w:tcPr>
          <w:p w14:paraId="7F67F41A" w14:textId="147C1943"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0.02</w:t>
            </w:r>
          </w:p>
        </w:tc>
        <w:tc>
          <w:tcPr>
            <w:tcW w:w="1200" w:type="dxa"/>
          </w:tcPr>
          <w:p w14:paraId="520C7B0A" w14:textId="4899E7F5"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1" w:type="dxa"/>
          </w:tcPr>
          <w:p w14:paraId="43D90746" w14:textId="0B5BAF21"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69</w:t>
            </w:r>
          </w:p>
        </w:tc>
        <w:tc>
          <w:tcPr>
            <w:tcW w:w="1200" w:type="dxa"/>
          </w:tcPr>
          <w:p w14:paraId="77F8DDB2" w14:textId="3A99965E"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Pr>
                <w:rFonts w:cs="Times New Roman"/>
                <w:color w:val="000000"/>
                <w:sz w:val="16"/>
                <w:szCs w:val="16"/>
              </w:rPr>
              <w:t>8</w:t>
            </w:r>
          </w:p>
        </w:tc>
        <w:tc>
          <w:tcPr>
            <w:tcW w:w="1200" w:type="dxa"/>
          </w:tcPr>
          <w:p w14:paraId="215DEAA1" w14:textId="08C87895" w:rsidR="00256327" w:rsidRPr="00E709B2"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1</w:t>
            </w:r>
            <w:r w:rsidR="00E709B2">
              <w:rPr>
                <w:rFonts w:cs="Times New Roman"/>
                <w:sz w:val="16"/>
                <w:szCs w:val="16"/>
              </w:rPr>
              <w:t>0</w:t>
            </w:r>
          </w:p>
        </w:tc>
        <w:tc>
          <w:tcPr>
            <w:tcW w:w="1200" w:type="dxa"/>
          </w:tcPr>
          <w:p w14:paraId="2AFEEACC" w14:textId="632915C8" w:rsidR="00256327" w:rsidRPr="004536A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w:t>
            </w:r>
          </w:p>
        </w:tc>
        <w:tc>
          <w:tcPr>
            <w:tcW w:w="1201" w:type="dxa"/>
          </w:tcPr>
          <w:p w14:paraId="10825274" w14:textId="2E2F55C1"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Pr>
                <w:rFonts w:cs="Times New Roman"/>
                <w:color w:val="000000"/>
                <w:sz w:val="16"/>
                <w:szCs w:val="16"/>
              </w:rPr>
              <w:t>1</w:t>
            </w:r>
          </w:p>
        </w:tc>
      </w:tr>
    </w:tbl>
    <w:p w14:paraId="4B87CDEE" w14:textId="77777777" w:rsidR="00676083" w:rsidRDefault="00676083" w:rsidP="00676083">
      <w:pPr>
        <w:spacing w:line="240" w:lineRule="auto"/>
        <w:jc w:val="center"/>
      </w:pPr>
    </w:p>
    <w:p w14:paraId="512E8489" w14:textId="6924725D" w:rsidR="00676083" w:rsidRDefault="00676083" w:rsidP="00676083">
      <w:pPr>
        <w:spacing w:line="240" w:lineRule="auto"/>
        <w:jc w:val="center"/>
      </w:pPr>
    </w:p>
    <w:p w14:paraId="364454E5" w14:textId="1DFD1018" w:rsidR="00143A3B" w:rsidRDefault="0013285D" w:rsidP="00676083">
      <w:pPr>
        <w:spacing w:line="240" w:lineRule="auto"/>
        <w:jc w:val="center"/>
      </w:pPr>
      <w:r>
        <w:rPr>
          <w:noProof/>
        </w:rPr>
        <w:drawing>
          <wp:inline distT="0" distB="0" distL="0" distR="0" wp14:anchorId="387603FE" wp14:editId="38D39188">
            <wp:extent cx="5943600"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pic:spPr>
                </pic:pic>
              </a:graphicData>
            </a:graphic>
          </wp:inline>
        </w:drawing>
      </w:r>
    </w:p>
    <w:p w14:paraId="2BC9AFD2" w14:textId="7029FA9B" w:rsidR="00676083" w:rsidRPr="0085588B" w:rsidRDefault="00676083" w:rsidP="00676083">
      <w:pPr>
        <w:pStyle w:val="Caption"/>
      </w:pPr>
      <w:r>
        <w:t>Figure 1: Annual SRP</w:t>
      </w:r>
      <w:r w:rsidR="0013285D">
        <w:t xml:space="preserve">, TP, and TSS </w:t>
      </w:r>
      <w:r>
        <w:t>load</w:t>
      </w:r>
      <w:r w:rsidR="0013285D">
        <w:t>s</w:t>
      </w:r>
      <w:r>
        <w:t xml:space="preserve"> (kg/km</w:t>
      </w:r>
      <w:r>
        <w:rPr>
          <w:vertAlign w:val="superscript"/>
        </w:rPr>
        <w:t>2</w:t>
      </w:r>
      <w:r>
        <w:t>) for the entire period of interest (200</w:t>
      </w:r>
      <w:r w:rsidR="002D25E0">
        <w:t>9</w:t>
      </w:r>
      <w:r>
        <w:t>-202</w:t>
      </w:r>
      <w:r w:rsidR="002D25E0">
        <w:t>1</w:t>
      </w:r>
      <w:r>
        <w:t xml:space="preserve">) across all sites. The gray bars in panels are the WRTDS Kalman Filter results. Red line shows the WRTDS flow normalized results. The Blue line shows the </w:t>
      </w:r>
      <w:r w:rsidR="0013285D">
        <w:t>5-year</w:t>
      </w:r>
      <w:r>
        <w:t xml:space="preserve"> moving average of “actual” annual SRP loads.</w:t>
      </w:r>
    </w:p>
    <w:p w14:paraId="15BB9402" w14:textId="26EC263E" w:rsidR="00676083" w:rsidRDefault="00676083" w:rsidP="00676083"/>
    <w:p w14:paraId="4C83F2A9" w14:textId="77777777" w:rsidR="006D30C9" w:rsidRDefault="006D30C9" w:rsidP="00676083"/>
    <w:p w14:paraId="4A4BD6B6" w14:textId="28657255" w:rsidR="00D610D2" w:rsidRDefault="00D610D2" w:rsidP="00D610D2">
      <w:pPr>
        <w:pStyle w:val="Heading3"/>
      </w:pPr>
      <w:r>
        <w:lastRenderedPageBreak/>
        <w:t xml:space="preserve">Total Phosphorus </w:t>
      </w:r>
    </w:p>
    <w:p w14:paraId="089E45CC" w14:textId="06918287" w:rsidR="004F3EF9" w:rsidRPr="004F3EF9" w:rsidRDefault="00EB3B95" w:rsidP="006D30C9">
      <w:pPr>
        <w:ind w:firstLine="720"/>
      </w:pPr>
      <w:r>
        <w:t>Annual FN TP concentrations</w:t>
      </w:r>
      <w:r w:rsidR="005F0409">
        <w:t xml:space="preserve"> had likely or highly likely upward trends at all </w:t>
      </w:r>
      <w:r>
        <w:t>four</w:t>
      </w:r>
      <w:r w:rsidR="005F0409">
        <w:t xml:space="preserve"> sites with percent changes ranging from 6% at the Maumee site to </w:t>
      </w:r>
      <w:r>
        <w:t>63</w:t>
      </w:r>
      <w:r w:rsidR="005F0409">
        <w:t xml:space="preserve">% at the Blanchard site (Table </w:t>
      </w:r>
      <w:r>
        <w:t>5</w:t>
      </w:r>
      <w:r w:rsidR="005F0409">
        <w:t xml:space="preserve">). Similarly, for annual FN TP </w:t>
      </w:r>
      <w:r>
        <w:t>loads</w:t>
      </w:r>
      <w:r w:rsidR="005F0409">
        <w:t xml:space="preserve">, all </w:t>
      </w:r>
      <w:r>
        <w:t>four</w:t>
      </w:r>
      <w:r w:rsidR="005F0409">
        <w:t xml:space="preserve"> of the sites had either very likely or highly likely upward trends</w:t>
      </w:r>
      <w:r>
        <w:t xml:space="preserve"> with</w:t>
      </w:r>
      <w:r w:rsidR="005F0409">
        <w:t xml:space="preserve"> percent changes ranged from </w:t>
      </w:r>
      <w:r>
        <w:t>11</w:t>
      </w:r>
      <w:r w:rsidR="005F0409">
        <w:t xml:space="preserve">% at Maumee to </w:t>
      </w:r>
      <w:r>
        <w:t>50</w:t>
      </w:r>
      <w:r w:rsidR="005F0409">
        <w:t>% at Raisin</w:t>
      </w:r>
      <w:r w:rsidR="00DE3B34">
        <w:t xml:space="preserve"> (Table 5 &amp; Figure 1)</w:t>
      </w:r>
      <w:r w:rsidR="005F0409">
        <w:t>.</w:t>
      </w:r>
      <w:r>
        <w:t xml:space="preserve"> Tiffin, Maumee, and Raisin sites had greater increases in load than in concentration, while the Blanchard site had a lower increase in load than in concentration. </w:t>
      </w:r>
    </w:p>
    <w:p w14:paraId="07A19E6C" w14:textId="6078AA61" w:rsidR="00147BB0" w:rsidRDefault="00147BB0" w:rsidP="005F0409">
      <w:pPr>
        <w:pStyle w:val="Caption"/>
      </w:pPr>
      <w:r>
        <w:t xml:space="preserve">Table </w:t>
      </w:r>
      <w:r w:rsidR="00EB3B95">
        <w:t>5</w:t>
      </w:r>
      <w:r>
        <w:t>:</w:t>
      </w:r>
      <w:r w:rsidR="005F0409">
        <w:t xml:space="preserve"> TP trends from 200</w:t>
      </w:r>
      <w:r w:rsidR="00E17422">
        <w:t>8</w:t>
      </w:r>
      <w:r w:rsidR="005F0409">
        <w:t xml:space="preserve"> to 202</w:t>
      </w:r>
      <w:r w:rsidR="00E17422">
        <w:t>2</w:t>
      </w:r>
      <w:r w:rsidR="005F0409">
        <w:t>.</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E8410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E84107" w:rsidRDefault="00147BB0" w:rsidP="00676083">
            <w:pPr>
              <w:spacing w:line="240" w:lineRule="auto"/>
              <w:jc w:val="center"/>
              <w:rPr>
                <w:rFonts w:cs="Times New Roman"/>
                <w:sz w:val="16"/>
                <w:szCs w:val="16"/>
              </w:rPr>
            </w:pPr>
            <w:r w:rsidRPr="00E84107">
              <w:rPr>
                <w:rFonts w:cs="Times New Roman"/>
                <w:sz w:val="16"/>
                <w:szCs w:val="16"/>
              </w:rPr>
              <w:t>Site</w:t>
            </w:r>
          </w:p>
        </w:tc>
        <w:tc>
          <w:tcPr>
            <w:tcW w:w="3206" w:type="dxa"/>
            <w:gridSpan w:val="3"/>
            <w:vAlign w:val="center"/>
          </w:tcPr>
          <w:p w14:paraId="6F306620" w14:textId="66B8D2E9"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Concentration of TP</w:t>
            </w:r>
          </w:p>
        </w:tc>
        <w:tc>
          <w:tcPr>
            <w:tcW w:w="4276" w:type="dxa"/>
            <w:gridSpan w:val="4"/>
            <w:vAlign w:val="center"/>
          </w:tcPr>
          <w:p w14:paraId="2ECABD22" w14:textId="1DA434B6"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Flux of TP</w:t>
            </w:r>
          </w:p>
        </w:tc>
      </w:tr>
      <w:tr w:rsidR="00147BB0" w:rsidRPr="00E84107" w14:paraId="7720D62E" w14:textId="77777777" w:rsidTr="00EF05F9">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E84107" w:rsidRDefault="00147BB0" w:rsidP="00676083">
            <w:pPr>
              <w:spacing w:line="240" w:lineRule="auto"/>
              <w:jc w:val="center"/>
              <w:rPr>
                <w:rFonts w:cs="Times New Roman"/>
                <w:sz w:val="16"/>
                <w:szCs w:val="16"/>
              </w:rPr>
            </w:pPr>
          </w:p>
        </w:tc>
        <w:tc>
          <w:tcPr>
            <w:tcW w:w="1068" w:type="dxa"/>
            <w:vMerge w:val="restart"/>
            <w:vAlign w:val="center"/>
          </w:tcPr>
          <w:p w14:paraId="44E11F15" w14:textId="174D74D3"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Annual mean in 200</w:t>
            </w:r>
            <w:r w:rsidR="00256327">
              <w:rPr>
                <w:rFonts w:cs="Times New Roman"/>
                <w:sz w:val="16"/>
                <w:szCs w:val="16"/>
              </w:rPr>
              <w:t>8</w:t>
            </w:r>
            <w:r w:rsidRPr="00E84107">
              <w:rPr>
                <w:rFonts w:cs="Times New Roman"/>
                <w:sz w:val="16"/>
                <w:szCs w:val="16"/>
              </w:rPr>
              <w:t>, mg/L</w:t>
            </w:r>
          </w:p>
        </w:tc>
        <w:tc>
          <w:tcPr>
            <w:tcW w:w="2138" w:type="dxa"/>
            <w:gridSpan w:val="2"/>
            <w:vAlign w:val="center"/>
          </w:tcPr>
          <w:p w14:paraId="0B723A74" w14:textId="760FB44A"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w:t>
            </w:r>
            <w:r w:rsidR="000B7C4D">
              <w:rPr>
                <w:rFonts w:cs="Times New Roman"/>
                <w:sz w:val="16"/>
                <w:szCs w:val="16"/>
              </w:rPr>
              <w:t>8</w:t>
            </w:r>
            <w:r w:rsidRPr="00E84107">
              <w:rPr>
                <w:rFonts w:cs="Times New Roman"/>
                <w:sz w:val="16"/>
                <w:szCs w:val="16"/>
              </w:rPr>
              <w:t xml:space="preserve"> - 202</w:t>
            </w:r>
            <w:r w:rsidR="000B7C4D">
              <w:rPr>
                <w:rFonts w:cs="Times New Roman"/>
                <w:sz w:val="16"/>
                <w:szCs w:val="16"/>
              </w:rPr>
              <w:t>2</w:t>
            </w:r>
          </w:p>
        </w:tc>
        <w:tc>
          <w:tcPr>
            <w:tcW w:w="1069" w:type="dxa"/>
            <w:vMerge w:val="restart"/>
            <w:vAlign w:val="center"/>
          </w:tcPr>
          <w:p w14:paraId="3839351B" w14:textId="44C68C82"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flux in 200</w:t>
            </w:r>
            <w:r w:rsidR="00E709B2">
              <w:rPr>
                <w:rFonts w:cs="Times New Roman"/>
                <w:sz w:val="16"/>
                <w:szCs w:val="16"/>
              </w:rPr>
              <w:t>8</w:t>
            </w:r>
            <w:r w:rsidRPr="00E84107">
              <w:rPr>
                <w:rFonts w:cs="Times New Roman"/>
                <w:sz w:val="16"/>
                <w:szCs w:val="16"/>
              </w:rPr>
              <w:t>, metric ton/yr</w:t>
            </w:r>
          </w:p>
        </w:tc>
        <w:tc>
          <w:tcPr>
            <w:tcW w:w="1188" w:type="dxa"/>
            <w:vMerge w:val="restart"/>
            <w:vAlign w:val="center"/>
          </w:tcPr>
          <w:p w14:paraId="05B712CC" w14:textId="73E37E2B"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yield in 200</w:t>
            </w:r>
            <w:r w:rsidR="00E709B2">
              <w:rPr>
                <w:rFonts w:cs="Times New Roman"/>
                <w:sz w:val="16"/>
                <w:szCs w:val="16"/>
              </w:rPr>
              <w:t>8</w:t>
            </w:r>
            <w:r w:rsidRPr="00E84107">
              <w:rPr>
                <w:rFonts w:cs="Times New Roman"/>
                <w:sz w:val="16"/>
                <w:szCs w:val="16"/>
              </w:rPr>
              <w:t>, kg/km</w:t>
            </w:r>
            <w:r w:rsidRPr="00E84107">
              <w:rPr>
                <w:rFonts w:cs="Times New Roman"/>
                <w:sz w:val="16"/>
                <w:szCs w:val="16"/>
                <w:vertAlign w:val="superscript"/>
              </w:rPr>
              <w:t>2</w:t>
            </w:r>
            <w:r w:rsidRPr="00E84107">
              <w:rPr>
                <w:rFonts w:cs="Times New Roman"/>
                <w:sz w:val="16"/>
                <w:szCs w:val="16"/>
              </w:rPr>
              <w:t>/yr</w:t>
            </w:r>
          </w:p>
        </w:tc>
        <w:tc>
          <w:tcPr>
            <w:tcW w:w="2019" w:type="dxa"/>
            <w:gridSpan w:val="2"/>
            <w:vAlign w:val="center"/>
          </w:tcPr>
          <w:p w14:paraId="5B58C23F" w14:textId="35D4F261"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w:t>
            </w:r>
            <w:r w:rsidR="000B7C4D">
              <w:rPr>
                <w:rFonts w:cs="Times New Roman"/>
                <w:sz w:val="16"/>
                <w:szCs w:val="16"/>
              </w:rPr>
              <w:t>8</w:t>
            </w:r>
            <w:r w:rsidRPr="00E84107">
              <w:rPr>
                <w:rFonts w:cs="Times New Roman"/>
                <w:sz w:val="16"/>
                <w:szCs w:val="16"/>
              </w:rPr>
              <w:t>-202</w:t>
            </w:r>
            <w:r w:rsidR="000B7C4D">
              <w:rPr>
                <w:rFonts w:cs="Times New Roman"/>
                <w:sz w:val="16"/>
                <w:szCs w:val="16"/>
              </w:rPr>
              <w:t>2</w:t>
            </w:r>
          </w:p>
        </w:tc>
      </w:tr>
      <w:tr w:rsidR="00147BB0" w:rsidRPr="00E84107" w14:paraId="25879B44" w14:textId="77777777" w:rsidTr="00EF05F9">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E8410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mg/L</w:t>
            </w:r>
          </w:p>
        </w:tc>
        <w:tc>
          <w:tcPr>
            <w:tcW w:w="1069" w:type="dxa"/>
            <w:vAlign w:val="center"/>
          </w:tcPr>
          <w:p w14:paraId="6C262F6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c>
          <w:tcPr>
            <w:tcW w:w="1069" w:type="dxa"/>
            <w:vMerge/>
            <w:vAlign w:val="center"/>
          </w:tcPr>
          <w:p w14:paraId="0FF5E29B"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15FCD1D6" w:rsidR="00147BB0" w:rsidRPr="004F3EF9"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vertAlign w:val="superscript"/>
              </w:rPr>
            </w:pPr>
            <w:r>
              <w:rPr>
                <w:rFonts w:cs="Times New Roman"/>
                <w:sz w:val="16"/>
                <w:szCs w:val="16"/>
              </w:rPr>
              <w:t>kg/km</w:t>
            </w:r>
            <w:r>
              <w:rPr>
                <w:rFonts w:cs="Times New Roman"/>
                <w:sz w:val="16"/>
                <w:szCs w:val="16"/>
                <w:vertAlign w:val="superscript"/>
              </w:rPr>
              <w:t>2</w:t>
            </w:r>
          </w:p>
        </w:tc>
        <w:tc>
          <w:tcPr>
            <w:tcW w:w="1070" w:type="dxa"/>
            <w:vAlign w:val="center"/>
          </w:tcPr>
          <w:p w14:paraId="11EF547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r>
      <w:tr w:rsidR="00E84107" w:rsidRPr="00E84107" w14:paraId="6E44ED6C"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4F01476D" w:rsidR="00E84107" w:rsidRPr="00E84107" w:rsidRDefault="00E84107" w:rsidP="00676083">
            <w:pPr>
              <w:spacing w:line="240" w:lineRule="auto"/>
              <w:rPr>
                <w:rFonts w:cs="Times New Roman"/>
                <w:sz w:val="16"/>
                <w:szCs w:val="16"/>
              </w:rPr>
            </w:pPr>
            <w:bookmarkStart w:id="1" w:name="_Hlk146803553"/>
            <w:r w:rsidRPr="00E84107">
              <w:rPr>
                <w:rFonts w:cs="Times New Roman"/>
                <w:sz w:val="16"/>
                <w:szCs w:val="16"/>
              </w:rPr>
              <w:t>Tiffin</w:t>
            </w:r>
          </w:p>
        </w:tc>
        <w:tc>
          <w:tcPr>
            <w:tcW w:w="1068" w:type="dxa"/>
            <w:vAlign w:val="center"/>
          </w:tcPr>
          <w:p w14:paraId="48683589" w14:textId="3D6B5A64"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0.16</w:t>
            </w:r>
          </w:p>
        </w:tc>
        <w:tc>
          <w:tcPr>
            <w:tcW w:w="1069" w:type="dxa"/>
            <w:vAlign w:val="center"/>
          </w:tcPr>
          <w:p w14:paraId="60DAA621" w14:textId="6228C0C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F2431BB" w14:textId="02C0DC7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6A94A26E" w14:textId="6437A515"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8</w:t>
            </w:r>
            <w:r w:rsidR="00D6311F">
              <w:rPr>
                <w:rFonts w:cs="Times New Roman"/>
                <w:color w:val="000000"/>
                <w:sz w:val="16"/>
                <w:szCs w:val="16"/>
              </w:rPr>
              <w:t>1</w:t>
            </w:r>
          </w:p>
        </w:tc>
        <w:tc>
          <w:tcPr>
            <w:tcW w:w="1188" w:type="dxa"/>
            <w:vAlign w:val="center"/>
          </w:tcPr>
          <w:p w14:paraId="63284B72" w14:textId="6F95494E" w:rsidR="00E84107" w:rsidRPr="00E709B2" w:rsidRDefault="00E709B2"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76</w:t>
            </w:r>
          </w:p>
        </w:tc>
        <w:tc>
          <w:tcPr>
            <w:tcW w:w="949" w:type="dxa"/>
            <w:vAlign w:val="center"/>
          </w:tcPr>
          <w:p w14:paraId="1BE34D6D" w14:textId="228821F8"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r w:rsidR="006979D8">
              <w:rPr>
                <w:rFonts w:cs="Times New Roman"/>
                <w:sz w:val="16"/>
                <w:szCs w:val="16"/>
              </w:rPr>
              <w:t>9</w:t>
            </w:r>
          </w:p>
        </w:tc>
        <w:tc>
          <w:tcPr>
            <w:tcW w:w="1070" w:type="dxa"/>
            <w:vAlign w:val="center"/>
          </w:tcPr>
          <w:p w14:paraId="7A1E0F7B" w14:textId="235F4A12" w:rsidR="00E84107" w:rsidRPr="00E84107" w:rsidRDefault="00D6311F"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21</w:t>
            </w:r>
          </w:p>
        </w:tc>
      </w:tr>
      <w:tr w:rsidR="00E84107" w:rsidRPr="00E84107" w14:paraId="0B8607EB"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213496D8" w:rsidR="00E84107" w:rsidRPr="00E84107" w:rsidRDefault="00E84107" w:rsidP="00676083">
            <w:pPr>
              <w:spacing w:line="240" w:lineRule="auto"/>
              <w:rPr>
                <w:rFonts w:cs="Times New Roman"/>
                <w:sz w:val="16"/>
                <w:szCs w:val="16"/>
              </w:rPr>
            </w:pPr>
            <w:r w:rsidRPr="00E84107">
              <w:rPr>
                <w:rFonts w:cs="Times New Roman"/>
                <w:sz w:val="16"/>
                <w:szCs w:val="16"/>
              </w:rPr>
              <w:t>Blanchard</w:t>
            </w:r>
          </w:p>
        </w:tc>
        <w:tc>
          <w:tcPr>
            <w:tcW w:w="1068" w:type="dxa"/>
            <w:vAlign w:val="center"/>
          </w:tcPr>
          <w:p w14:paraId="126A1237" w14:textId="728A343D"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0.2</w:t>
            </w:r>
            <w:r w:rsidR="00256327">
              <w:rPr>
                <w:rFonts w:cs="Times New Roman"/>
                <w:color w:val="000000"/>
                <w:sz w:val="16"/>
                <w:szCs w:val="16"/>
              </w:rPr>
              <w:t>4</w:t>
            </w:r>
          </w:p>
        </w:tc>
        <w:tc>
          <w:tcPr>
            <w:tcW w:w="1069" w:type="dxa"/>
            <w:vAlign w:val="center"/>
          </w:tcPr>
          <w:p w14:paraId="0A498606" w14:textId="7B1D4F4B"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0.1</w:t>
            </w:r>
            <w:r w:rsidR="00256327">
              <w:rPr>
                <w:rFonts w:cs="Times New Roman"/>
                <w:color w:val="000000"/>
                <w:sz w:val="16"/>
                <w:szCs w:val="16"/>
              </w:rPr>
              <w:t>5</w:t>
            </w:r>
          </w:p>
        </w:tc>
        <w:tc>
          <w:tcPr>
            <w:tcW w:w="1069" w:type="dxa"/>
            <w:vAlign w:val="center"/>
          </w:tcPr>
          <w:p w14:paraId="41A756F1" w14:textId="540E5992" w:rsidR="00E84107" w:rsidRPr="00E84107" w:rsidRDefault="0025632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63</w:t>
            </w:r>
          </w:p>
        </w:tc>
        <w:tc>
          <w:tcPr>
            <w:tcW w:w="1069" w:type="dxa"/>
            <w:vAlign w:val="center"/>
          </w:tcPr>
          <w:p w14:paraId="4BBF2F52" w14:textId="00C857B0"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137</w:t>
            </w:r>
          </w:p>
        </w:tc>
        <w:tc>
          <w:tcPr>
            <w:tcW w:w="1188" w:type="dxa"/>
            <w:vAlign w:val="center"/>
          </w:tcPr>
          <w:p w14:paraId="0087397B" w14:textId="3E580508" w:rsidR="00E84107" w:rsidRPr="00E709B2"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153</w:t>
            </w:r>
          </w:p>
        </w:tc>
        <w:tc>
          <w:tcPr>
            <w:tcW w:w="949" w:type="dxa"/>
            <w:vAlign w:val="center"/>
          </w:tcPr>
          <w:p w14:paraId="5EB4CB3F" w14:textId="404F3501" w:rsidR="00E84107" w:rsidRPr="00E8410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25</w:t>
            </w:r>
          </w:p>
        </w:tc>
        <w:tc>
          <w:tcPr>
            <w:tcW w:w="1070" w:type="dxa"/>
            <w:vAlign w:val="center"/>
          </w:tcPr>
          <w:p w14:paraId="58E60621" w14:textId="1898637A" w:rsidR="00E84107" w:rsidRPr="00E84107" w:rsidRDefault="00D6311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20</w:t>
            </w:r>
          </w:p>
        </w:tc>
      </w:tr>
      <w:tr w:rsidR="00256327" w:rsidRPr="00E84107" w14:paraId="59BE0C0D"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88514D" w14:textId="6062B88C" w:rsidR="00256327" w:rsidRDefault="00256327" w:rsidP="00256327">
            <w:pPr>
              <w:spacing w:line="240" w:lineRule="auto"/>
              <w:rPr>
                <w:rFonts w:cs="Times New Roman"/>
                <w:sz w:val="16"/>
                <w:szCs w:val="16"/>
              </w:rPr>
            </w:pPr>
            <w:r w:rsidRPr="00E84107">
              <w:rPr>
                <w:rFonts w:cs="Times New Roman"/>
                <w:sz w:val="16"/>
                <w:szCs w:val="16"/>
              </w:rPr>
              <w:t>Maumee</w:t>
            </w:r>
          </w:p>
        </w:tc>
        <w:tc>
          <w:tcPr>
            <w:tcW w:w="1068" w:type="dxa"/>
            <w:vAlign w:val="center"/>
          </w:tcPr>
          <w:p w14:paraId="6AA3CF29" w14:textId="464EB4CA"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0.23</w:t>
            </w:r>
          </w:p>
        </w:tc>
        <w:tc>
          <w:tcPr>
            <w:tcW w:w="1069" w:type="dxa"/>
            <w:vAlign w:val="center"/>
          </w:tcPr>
          <w:p w14:paraId="294F5015" w14:textId="547A92BB"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0.01</w:t>
            </w:r>
          </w:p>
        </w:tc>
        <w:tc>
          <w:tcPr>
            <w:tcW w:w="1069" w:type="dxa"/>
            <w:vAlign w:val="center"/>
          </w:tcPr>
          <w:p w14:paraId="62BFF697" w14:textId="7D5BF89B"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6</w:t>
            </w:r>
          </w:p>
        </w:tc>
        <w:tc>
          <w:tcPr>
            <w:tcW w:w="1069" w:type="dxa"/>
            <w:vAlign w:val="center"/>
          </w:tcPr>
          <w:p w14:paraId="7963EB33" w14:textId="3B0A132F"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2</w:t>
            </w:r>
            <w:r w:rsidR="00D27212">
              <w:rPr>
                <w:rFonts w:cs="Times New Roman"/>
                <w:color w:val="000000"/>
                <w:sz w:val="16"/>
                <w:szCs w:val="16"/>
              </w:rPr>
              <w:t>413</w:t>
            </w:r>
          </w:p>
        </w:tc>
        <w:tc>
          <w:tcPr>
            <w:tcW w:w="1188" w:type="dxa"/>
            <w:vAlign w:val="center"/>
          </w:tcPr>
          <w:p w14:paraId="0942F665" w14:textId="12B3D82E" w:rsidR="00256327" w:rsidRPr="00E709B2" w:rsidRDefault="00E709B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709B2">
              <w:rPr>
                <w:rFonts w:cs="Times New Roman"/>
                <w:color w:val="000000"/>
                <w:sz w:val="16"/>
                <w:szCs w:val="16"/>
              </w:rPr>
              <w:t>147</w:t>
            </w:r>
          </w:p>
        </w:tc>
        <w:tc>
          <w:tcPr>
            <w:tcW w:w="949" w:type="dxa"/>
            <w:vAlign w:val="center"/>
          </w:tcPr>
          <w:p w14:paraId="68F345B3" w14:textId="5B7EBBF0" w:rsidR="00256327" w:rsidRDefault="006979D8"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15</w:t>
            </w:r>
          </w:p>
        </w:tc>
        <w:tc>
          <w:tcPr>
            <w:tcW w:w="1070" w:type="dxa"/>
            <w:vAlign w:val="center"/>
          </w:tcPr>
          <w:p w14:paraId="57C5C908" w14:textId="79BF4EEF" w:rsidR="00256327" w:rsidRPr="00E84107" w:rsidRDefault="00D2721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11</w:t>
            </w:r>
          </w:p>
        </w:tc>
      </w:tr>
      <w:tr w:rsidR="00256327" w:rsidRPr="00E84107" w14:paraId="45B7E939"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256327" w:rsidRPr="00E84107" w:rsidRDefault="00256327" w:rsidP="00256327">
            <w:pPr>
              <w:spacing w:line="240" w:lineRule="auto"/>
              <w:rPr>
                <w:rFonts w:cs="Times New Roman"/>
                <w:sz w:val="16"/>
                <w:szCs w:val="16"/>
              </w:rPr>
            </w:pPr>
            <w:r w:rsidRPr="00E84107">
              <w:rPr>
                <w:rFonts w:cs="Times New Roman"/>
                <w:sz w:val="16"/>
                <w:szCs w:val="16"/>
              </w:rPr>
              <w:t>Raisin</w:t>
            </w:r>
          </w:p>
        </w:tc>
        <w:tc>
          <w:tcPr>
            <w:tcW w:w="1068" w:type="dxa"/>
            <w:vAlign w:val="center"/>
          </w:tcPr>
          <w:p w14:paraId="5207D5B6" w14:textId="03393B8D"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0.08</w:t>
            </w:r>
          </w:p>
        </w:tc>
        <w:tc>
          <w:tcPr>
            <w:tcW w:w="1069" w:type="dxa"/>
            <w:vAlign w:val="center"/>
          </w:tcPr>
          <w:p w14:paraId="119E7D96" w14:textId="6CA65408"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0.03</w:t>
            </w:r>
          </w:p>
        </w:tc>
        <w:tc>
          <w:tcPr>
            <w:tcW w:w="1069" w:type="dxa"/>
            <w:vAlign w:val="center"/>
          </w:tcPr>
          <w:p w14:paraId="0844AE80" w14:textId="29C32F0C"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3</w:t>
            </w:r>
            <w:r w:rsidR="00D27212">
              <w:rPr>
                <w:rFonts w:cs="Times New Roman"/>
                <w:color w:val="000000"/>
                <w:sz w:val="16"/>
                <w:szCs w:val="16"/>
              </w:rPr>
              <w:t>9</w:t>
            </w:r>
          </w:p>
        </w:tc>
        <w:tc>
          <w:tcPr>
            <w:tcW w:w="1069" w:type="dxa"/>
            <w:vAlign w:val="center"/>
          </w:tcPr>
          <w:p w14:paraId="4DE71128" w14:textId="416EA5A3"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D27212">
              <w:rPr>
                <w:rFonts w:cs="Times New Roman"/>
                <w:color w:val="000000"/>
                <w:sz w:val="16"/>
                <w:szCs w:val="16"/>
              </w:rPr>
              <w:t>09</w:t>
            </w:r>
          </w:p>
        </w:tc>
        <w:tc>
          <w:tcPr>
            <w:tcW w:w="1188" w:type="dxa"/>
            <w:vAlign w:val="center"/>
          </w:tcPr>
          <w:p w14:paraId="348A0F43" w14:textId="798B3ACB" w:rsidR="00256327" w:rsidRPr="00E709B2" w:rsidRDefault="00E709B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40</w:t>
            </w:r>
          </w:p>
        </w:tc>
        <w:tc>
          <w:tcPr>
            <w:tcW w:w="949" w:type="dxa"/>
            <w:vAlign w:val="center"/>
          </w:tcPr>
          <w:p w14:paraId="2F784E1D" w14:textId="764B1F88" w:rsidR="00256327" w:rsidRPr="00E8410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20</w:t>
            </w:r>
          </w:p>
        </w:tc>
        <w:tc>
          <w:tcPr>
            <w:tcW w:w="1070" w:type="dxa"/>
            <w:vAlign w:val="center"/>
          </w:tcPr>
          <w:p w14:paraId="35598108" w14:textId="5DE8ECDC" w:rsidR="00256327" w:rsidRPr="00E84107" w:rsidRDefault="00D2721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50</w:t>
            </w:r>
          </w:p>
        </w:tc>
      </w:tr>
      <w:bookmarkEnd w:id="1"/>
    </w:tbl>
    <w:p w14:paraId="493ACA99" w14:textId="7FDC7B7E" w:rsidR="00E17422" w:rsidRDefault="00E17422" w:rsidP="00E17422"/>
    <w:p w14:paraId="487A8D4E" w14:textId="34C60432" w:rsidR="00EB3B95" w:rsidRDefault="00EB3B95" w:rsidP="00EB3B95">
      <w:pPr>
        <w:pStyle w:val="Heading3"/>
      </w:pPr>
      <w:r>
        <w:t>Total Suspended Solids</w:t>
      </w:r>
    </w:p>
    <w:p w14:paraId="4F27DB18" w14:textId="1426EF65" w:rsidR="007E79F2" w:rsidRPr="003B7D3C" w:rsidRDefault="007E79F2" w:rsidP="00A072D7">
      <w:pPr>
        <w:ind w:firstLine="720"/>
      </w:pPr>
      <w:r>
        <w:t>Annual FN TSS concentrations decreased in the Maumee River basin with 5% decreases in both the Blanchard and Tiffin Rivers and an 11% decrease in the Maumee River. Unlike the Maumee River basin, annual FN TSS concentrations increased</w:t>
      </w:r>
      <w:r w:rsidR="00DE3B34">
        <w:t xml:space="preserve"> by 27%</w:t>
      </w:r>
      <w:r>
        <w:t xml:space="preserve"> in the River Raisin (</w:t>
      </w:r>
      <w:r w:rsidR="00DE3B34">
        <w:t>Table 6</w:t>
      </w:r>
      <w:r>
        <w:t xml:space="preserve">). </w:t>
      </w:r>
      <w:r w:rsidR="00A072D7">
        <w:t>Unlike</w:t>
      </w:r>
      <w:r>
        <w:t xml:space="preserve"> annual FN T</w:t>
      </w:r>
      <w:r w:rsidR="00A072D7">
        <w:t>SS</w:t>
      </w:r>
      <w:r>
        <w:t xml:space="preserve"> </w:t>
      </w:r>
      <w:r w:rsidR="00A072D7">
        <w:t>concentrations</w:t>
      </w:r>
      <w:r>
        <w:t xml:space="preserve">, </w:t>
      </w:r>
      <w:r w:rsidR="00A072D7">
        <w:t>both internal Maumee River watersheds (Tiffin and Blanchard) showed an increase in annual FN TSS loads. While the two sub</w:t>
      </w:r>
      <w:r w:rsidR="00474CA1">
        <w:t>-</w:t>
      </w:r>
      <w:r w:rsidR="00A072D7">
        <w:t xml:space="preserve">watersheds showed an increase in TSS loads, the Maumee River watershed had a 3% decrease in FN TSS loads from 2008 to 2022 (Table 6 &amp; Figure 1). As with FN TSS concentration, the River Raisin had a </w:t>
      </w:r>
      <w:r>
        <w:t>highly likely upward trends with</w:t>
      </w:r>
      <w:r w:rsidR="00A072D7">
        <w:t xml:space="preserve"> a 47% increase in FN TSS loads.</w:t>
      </w:r>
      <w:r>
        <w:t xml:space="preserve"> </w:t>
      </w:r>
    </w:p>
    <w:p w14:paraId="57B7DC9E" w14:textId="727E2233" w:rsidR="00EB3B95" w:rsidRDefault="00EB3B95" w:rsidP="00EB3B95">
      <w:pPr>
        <w:pStyle w:val="Caption"/>
      </w:pPr>
      <w:r>
        <w:lastRenderedPageBreak/>
        <w:t xml:space="preserve">Table </w:t>
      </w:r>
      <w:r w:rsidR="00DE3B34">
        <w:t>6</w:t>
      </w:r>
      <w:r>
        <w:t>:</w:t>
      </w:r>
      <w:r w:rsidR="00DE3B34">
        <w:t xml:space="preserve"> </w:t>
      </w:r>
      <w:r>
        <w:t>TSS trends from 2008 to 2022.</w:t>
      </w:r>
    </w:p>
    <w:tbl>
      <w:tblPr>
        <w:tblStyle w:val="PlainTable2"/>
        <w:tblW w:w="9035" w:type="dxa"/>
        <w:jc w:val="center"/>
        <w:tblLook w:val="04A0" w:firstRow="1" w:lastRow="0" w:firstColumn="1" w:lastColumn="0" w:noHBand="0" w:noVBand="1"/>
      </w:tblPr>
      <w:tblGrid>
        <w:gridCol w:w="1128"/>
        <w:gridCol w:w="1128"/>
        <w:gridCol w:w="1129"/>
        <w:gridCol w:w="1131"/>
        <w:gridCol w:w="1129"/>
        <w:gridCol w:w="1129"/>
        <w:gridCol w:w="1129"/>
        <w:gridCol w:w="1132"/>
      </w:tblGrid>
      <w:tr w:rsidR="00EB3B95" w:rsidRPr="004536A7" w14:paraId="3C66D2C2" w14:textId="77777777" w:rsidTr="00D77306">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43976CF2" w14:textId="77777777" w:rsidR="00EB3B95" w:rsidRPr="004536A7" w:rsidRDefault="00EB3B95" w:rsidP="00D77306">
            <w:pPr>
              <w:spacing w:line="240" w:lineRule="auto"/>
              <w:jc w:val="center"/>
              <w:rPr>
                <w:rFonts w:cs="Times New Roman"/>
                <w:sz w:val="16"/>
                <w:szCs w:val="16"/>
              </w:rPr>
            </w:pPr>
            <w:r w:rsidRPr="004536A7">
              <w:rPr>
                <w:rFonts w:cs="Times New Roman"/>
                <w:sz w:val="16"/>
                <w:szCs w:val="16"/>
              </w:rPr>
              <w:t>Site</w:t>
            </w:r>
          </w:p>
        </w:tc>
        <w:tc>
          <w:tcPr>
            <w:tcW w:w="3388" w:type="dxa"/>
            <w:gridSpan w:val="3"/>
            <w:vAlign w:val="center"/>
          </w:tcPr>
          <w:p w14:paraId="233B47B3" w14:textId="011BCE96" w:rsidR="00EB3B95" w:rsidRPr="004536A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 xml:space="preserve">entration of </w:t>
            </w:r>
            <w:r w:rsidR="00D77306">
              <w:rPr>
                <w:rFonts w:cs="Times New Roman"/>
                <w:sz w:val="16"/>
                <w:szCs w:val="16"/>
              </w:rPr>
              <w:t>TSS</w:t>
            </w:r>
          </w:p>
        </w:tc>
        <w:tc>
          <w:tcPr>
            <w:tcW w:w="4519" w:type="dxa"/>
            <w:gridSpan w:val="4"/>
            <w:vAlign w:val="center"/>
          </w:tcPr>
          <w:p w14:paraId="343A51F4" w14:textId="41E59B3C" w:rsidR="00EB3B95" w:rsidRPr="004536A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w:t>
            </w:r>
            <w:r w:rsidR="00D77306">
              <w:rPr>
                <w:rFonts w:cs="Times New Roman"/>
                <w:sz w:val="16"/>
                <w:szCs w:val="16"/>
              </w:rPr>
              <w:t>TSS</w:t>
            </w:r>
          </w:p>
        </w:tc>
      </w:tr>
      <w:tr w:rsidR="00EB3B95" w:rsidRPr="004536A7" w14:paraId="02834158" w14:textId="77777777" w:rsidTr="00D77306">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4FB04381" w14:textId="77777777" w:rsidR="00EB3B95" w:rsidRPr="004536A7" w:rsidRDefault="00EB3B95" w:rsidP="00D77306">
            <w:pPr>
              <w:spacing w:line="240" w:lineRule="auto"/>
              <w:jc w:val="center"/>
              <w:rPr>
                <w:rFonts w:cs="Times New Roman"/>
                <w:sz w:val="16"/>
                <w:szCs w:val="16"/>
              </w:rPr>
            </w:pPr>
          </w:p>
        </w:tc>
        <w:tc>
          <w:tcPr>
            <w:tcW w:w="1128" w:type="dxa"/>
            <w:vMerge w:val="restart"/>
            <w:vAlign w:val="center"/>
          </w:tcPr>
          <w:p w14:paraId="381A7C56"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w:t>
            </w:r>
            <w:r>
              <w:rPr>
                <w:rFonts w:cs="Times New Roman"/>
                <w:sz w:val="16"/>
                <w:szCs w:val="16"/>
              </w:rPr>
              <w:t>8</w:t>
            </w:r>
            <w:r w:rsidRPr="004536A7">
              <w:rPr>
                <w:rFonts w:cs="Times New Roman"/>
                <w:sz w:val="16"/>
                <w:szCs w:val="16"/>
              </w:rPr>
              <w:t>, mg/L</w:t>
            </w:r>
          </w:p>
        </w:tc>
        <w:tc>
          <w:tcPr>
            <w:tcW w:w="2260" w:type="dxa"/>
            <w:gridSpan w:val="2"/>
            <w:vAlign w:val="center"/>
          </w:tcPr>
          <w:p w14:paraId="6B20CC3A"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w:t>
            </w:r>
            <w:r>
              <w:rPr>
                <w:rFonts w:cs="Times New Roman"/>
                <w:sz w:val="16"/>
                <w:szCs w:val="16"/>
              </w:rPr>
              <w:t>08</w:t>
            </w:r>
            <w:r w:rsidRPr="004536A7">
              <w:rPr>
                <w:rFonts w:cs="Times New Roman"/>
                <w:sz w:val="16"/>
                <w:szCs w:val="16"/>
              </w:rPr>
              <w:t xml:space="preserve"> - 202</w:t>
            </w:r>
            <w:r>
              <w:rPr>
                <w:rFonts w:cs="Times New Roman"/>
                <w:sz w:val="16"/>
                <w:szCs w:val="16"/>
              </w:rPr>
              <w:t>2</w:t>
            </w:r>
          </w:p>
        </w:tc>
        <w:tc>
          <w:tcPr>
            <w:tcW w:w="1129" w:type="dxa"/>
            <w:vMerge w:val="restart"/>
            <w:vAlign w:val="center"/>
          </w:tcPr>
          <w:p w14:paraId="6447B6DE"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w:t>
            </w:r>
            <w:r>
              <w:rPr>
                <w:rFonts w:cs="Times New Roman"/>
                <w:sz w:val="16"/>
                <w:szCs w:val="16"/>
              </w:rPr>
              <w:t>8</w:t>
            </w:r>
            <w:r w:rsidRPr="004536A7">
              <w:rPr>
                <w:rFonts w:cs="Times New Roman"/>
                <w:sz w:val="16"/>
                <w:szCs w:val="16"/>
              </w:rPr>
              <w:t>, metric ton/yr</w:t>
            </w:r>
          </w:p>
        </w:tc>
        <w:tc>
          <w:tcPr>
            <w:tcW w:w="1129" w:type="dxa"/>
            <w:vMerge w:val="restart"/>
            <w:vAlign w:val="center"/>
          </w:tcPr>
          <w:p w14:paraId="2E3F4EC5"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Pr>
                <w:rFonts w:cs="Times New Roman"/>
                <w:sz w:val="16"/>
                <w:szCs w:val="16"/>
              </w:rPr>
              <w:t>8</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260" w:type="dxa"/>
            <w:gridSpan w:val="2"/>
            <w:vAlign w:val="center"/>
          </w:tcPr>
          <w:p w14:paraId="4DBDB987"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Pr>
                <w:rFonts w:cs="Times New Roman"/>
                <w:sz w:val="16"/>
                <w:szCs w:val="16"/>
              </w:rPr>
              <w:t>8</w:t>
            </w:r>
            <w:r w:rsidRPr="004536A7">
              <w:rPr>
                <w:rFonts w:cs="Times New Roman"/>
                <w:sz w:val="16"/>
                <w:szCs w:val="16"/>
              </w:rPr>
              <w:t>-202</w:t>
            </w:r>
            <w:r>
              <w:rPr>
                <w:rFonts w:cs="Times New Roman"/>
                <w:sz w:val="16"/>
                <w:szCs w:val="16"/>
              </w:rPr>
              <w:t>2</w:t>
            </w:r>
          </w:p>
        </w:tc>
      </w:tr>
      <w:tr w:rsidR="00EB3B95" w:rsidRPr="004536A7" w14:paraId="64F6F5CF" w14:textId="77777777" w:rsidTr="00D77306">
        <w:trPr>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006E8385" w14:textId="77777777" w:rsidR="00EB3B95" w:rsidRPr="004536A7" w:rsidRDefault="00EB3B95" w:rsidP="00D77306">
            <w:pPr>
              <w:spacing w:line="240" w:lineRule="auto"/>
              <w:jc w:val="center"/>
              <w:rPr>
                <w:rFonts w:cs="Times New Roman"/>
                <w:sz w:val="16"/>
                <w:szCs w:val="16"/>
              </w:rPr>
            </w:pPr>
          </w:p>
        </w:tc>
        <w:tc>
          <w:tcPr>
            <w:tcW w:w="1128" w:type="dxa"/>
            <w:vMerge/>
            <w:vAlign w:val="center"/>
          </w:tcPr>
          <w:p w14:paraId="2AB841CA"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79C09CE5"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130" w:type="dxa"/>
            <w:vAlign w:val="center"/>
          </w:tcPr>
          <w:p w14:paraId="6D4FE4ED"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129" w:type="dxa"/>
            <w:vMerge/>
            <w:vAlign w:val="center"/>
          </w:tcPr>
          <w:p w14:paraId="2D0E57B4"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Merge/>
            <w:vAlign w:val="center"/>
          </w:tcPr>
          <w:p w14:paraId="1A4754C2"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3D8B4B14" w14:textId="557BE236" w:rsidR="00EB3B95" w:rsidRPr="004536A7" w:rsidRDefault="004F3EF9"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kg/km</w:t>
            </w:r>
            <w:r>
              <w:rPr>
                <w:rFonts w:cs="Times New Roman"/>
                <w:sz w:val="16"/>
                <w:szCs w:val="16"/>
                <w:vertAlign w:val="superscript"/>
              </w:rPr>
              <w:t>2</w:t>
            </w:r>
          </w:p>
        </w:tc>
        <w:tc>
          <w:tcPr>
            <w:tcW w:w="1130" w:type="dxa"/>
            <w:vAlign w:val="center"/>
          </w:tcPr>
          <w:p w14:paraId="23CC0560"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EB3B95" w:rsidRPr="004536A7" w14:paraId="1493B3E4"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71410068" w14:textId="5F92C4ED" w:rsidR="00EB3B95" w:rsidRPr="004536A7" w:rsidRDefault="003B7D3C" w:rsidP="00D77306">
            <w:pPr>
              <w:spacing w:line="240" w:lineRule="auto"/>
              <w:jc w:val="center"/>
              <w:rPr>
                <w:rFonts w:cs="Times New Roman"/>
                <w:sz w:val="16"/>
                <w:szCs w:val="16"/>
              </w:rPr>
            </w:pPr>
            <w:r>
              <w:rPr>
                <w:rFonts w:cs="Times New Roman"/>
                <w:sz w:val="16"/>
                <w:szCs w:val="16"/>
              </w:rPr>
              <w:t>Tiffin</w:t>
            </w:r>
          </w:p>
        </w:tc>
        <w:tc>
          <w:tcPr>
            <w:tcW w:w="1128" w:type="dxa"/>
            <w:vAlign w:val="center"/>
          </w:tcPr>
          <w:p w14:paraId="65B9796F" w14:textId="3574CF19"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48</w:t>
            </w:r>
          </w:p>
        </w:tc>
        <w:tc>
          <w:tcPr>
            <w:tcW w:w="1129" w:type="dxa"/>
            <w:vAlign w:val="center"/>
          </w:tcPr>
          <w:p w14:paraId="177487A5" w14:textId="3D44F1CB"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w:t>
            </w:r>
          </w:p>
        </w:tc>
        <w:tc>
          <w:tcPr>
            <w:tcW w:w="1130" w:type="dxa"/>
            <w:vAlign w:val="center"/>
          </w:tcPr>
          <w:p w14:paraId="6C848321" w14:textId="3486C8EB"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w:t>
            </w:r>
          </w:p>
        </w:tc>
        <w:tc>
          <w:tcPr>
            <w:tcW w:w="1129" w:type="dxa"/>
            <w:vAlign w:val="center"/>
          </w:tcPr>
          <w:p w14:paraId="32A7800D" w14:textId="358F76E3"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22,800</w:t>
            </w:r>
          </w:p>
        </w:tc>
        <w:tc>
          <w:tcPr>
            <w:tcW w:w="1129" w:type="dxa"/>
            <w:vAlign w:val="center"/>
          </w:tcPr>
          <w:p w14:paraId="5EE83E53" w14:textId="3E3C5B25" w:rsidR="00EB3B95" w:rsidRPr="004536A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21,500</w:t>
            </w:r>
          </w:p>
        </w:tc>
        <w:tc>
          <w:tcPr>
            <w:tcW w:w="1129" w:type="dxa"/>
            <w:vAlign w:val="center"/>
          </w:tcPr>
          <w:p w14:paraId="0EABDA8F" w14:textId="44B273F3"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r w:rsidR="006979D8">
              <w:rPr>
                <w:rFonts w:cs="Times New Roman"/>
                <w:sz w:val="16"/>
                <w:szCs w:val="16"/>
              </w:rPr>
              <w:t>570</w:t>
            </w:r>
          </w:p>
        </w:tc>
        <w:tc>
          <w:tcPr>
            <w:tcW w:w="1130" w:type="dxa"/>
            <w:vAlign w:val="center"/>
          </w:tcPr>
          <w:p w14:paraId="71EC62B5" w14:textId="130B1B22"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14</w:t>
            </w:r>
          </w:p>
        </w:tc>
      </w:tr>
      <w:tr w:rsidR="003B7D3C" w:rsidRPr="004536A7" w14:paraId="37B80541"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168E84E" w14:textId="1DB9DF03" w:rsidR="003B7D3C" w:rsidRPr="004536A7" w:rsidRDefault="003B7D3C" w:rsidP="00D77306">
            <w:pPr>
              <w:spacing w:line="240" w:lineRule="auto"/>
              <w:jc w:val="center"/>
              <w:rPr>
                <w:rFonts w:cs="Times New Roman"/>
                <w:sz w:val="16"/>
                <w:szCs w:val="16"/>
              </w:rPr>
            </w:pPr>
            <w:r>
              <w:rPr>
                <w:rFonts w:cs="Times New Roman"/>
                <w:sz w:val="16"/>
                <w:szCs w:val="16"/>
              </w:rPr>
              <w:t>Blanchard</w:t>
            </w:r>
          </w:p>
        </w:tc>
        <w:tc>
          <w:tcPr>
            <w:tcW w:w="1128" w:type="dxa"/>
            <w:vAlign w:val="center"/>
          </w:tcPr>
          <w:p w14:paraId="30A4ADD6" w14:textId="214A3238"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40</w:t>
            </w:r>
          </w:p>
        </w:tc>
        <w:tc>
          <w:tcPr>
            <w:tcW w:w="1129" w:type="dxa"/>
            <w:vAlign w:val="center"/>
          </w:tcPr>
          <w:p w14:paraId="38ADB8BF" w14:textId="61494F0B"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w:t>
            </w:r>
          </w:p>
        </w:tc>
        <w:tc>
          <w:tcPr>
            <w:tcW w:w="1130" w:type="dxa"/>
            <w:vAlign w:val="center"/>
          </w:tcPr>
          <w:p w14:paraId="7B9539BB" w14:textId="4EF17E5A"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w:t>
            </w:r>
          </w:p>
        </w:tc>
        <w:tc>
          <w:tcPr>
            <w:tcW w:w="1129" w:type="dxa"/>
            <w:vAlign w:val="center"/>
          </w:tcPr>
          <w:p w14:paraId="26D4C840" w14:textId="61E9DDB1"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41,100</w:t>
            </w:r>
          </w:p>
        </w:tc>
        <w:tc>
          <w:tcPr>
            <w:tcW w:w="1129" w:type="dxa"/>
            <w:vAlign w:val="center"/>
          </w:tcPr>
          <w:p w14:paraId="4C1308E7" w14:textId="6E428A5E" w:rsidR="003B7D3C" w:rsidRPr="004536A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45,800</w:t>
            </w:r>
          </w:p>
        </w:tc>
        <w:tc>
          <w:tcPr>
            <w:tcW w:w="1129" w:type="dxa"/>
            <w:vAlign w:val="center"/>
          </w:tcPr>
          <w:p w14:paraId="114974F7" w14:textId="2E91B615"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w:t>
            </w:r>
            <w:r w:rsidR="006979D8">
              <w:rPr>
                <w:rFonts w:cs="Times New Roman"/>
                <w:sz w:val="16"/>
                <w:szCs w:val="16"/>
              </w:rPr>
              <w:t>80</w:t>
            </w:r>
          </w:p>
        </w:tc>
        <w:tc>
          <w:tcPr>
            <w:tcW w:w="1130" w:type="dxa"/>
            <w:vAlign w:val="center"/>
          </w:tcPr>
          <w:p w14:paraId="4A18E28D" w14:textId="0D1504CE"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0.5</w:t>
            </w:r>
          </w:p>
        </w:tc>
      </w:tr>
      <w:tr w:rsidR="003B7D3C" w:rsidRPr="004536A7" w14:paraId="650B751F"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29AE53C6" w14:textId="48DF6508" w:rsidR="003B7D3C" w:rsidRPr="004536A7" w:rsidRDefault="003B7D3C" w:rsidP="00D77306">
            <w:pPr>
              <w:spacing w:line="240" w:lineRule="auto"/>
              <w:jc w:val="center"/>
              <w:rPr>
                <w:rFonts w:cs="Times New Roman"/>
                <w:sz w:val="16"/>
                <w:szCs w:val="16"/>
              </w:rPr>
            </w:pPr>
            <w:r>
              <w:rPr>
                <w:rFonts w:cs="Times New Roman"/>
                <w:sz w:val="16"/>
                <w:szCs w:val="16"/>
              </w:rPr>
              <w:t>Maumee</w:t>
            </w:r>
          </w:p>
        </w:tc>
        <w:tc>
          <w:tcPr>
            <w:tcW w:w="1128" w:type="dxa"/>
            <w:vAlign w:val="center"/>
          </w:tcPr>
          <w:p w14:paraId="1FD09F82" w14:textId="2734A279"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73</w:t>
            </w:r>
          </w:p>
        </w:tc>
        <w:tc>
          <w:tcPr>
            <w:tcW w:w="1129" w:type="dxa"/>
            <w:vAlign w:val="center"/>
          </w:tcPr>
          <w:p w14:paraId="21840A22" w14:textId="66A89B3A"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130" w:type="dxa"/>
            <w:vAlign w:val="center"/>
          </w:tcPr>
          <w:p w14:paraId="61856DE7" w14:textId="121F4F99"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1129" w:type="dxa"/>
            <w:vAlign w:val="center"/>
          </w:tcPr>
          <w:p w14:paraId="56D60F8F" w14:textId="5FEDD685"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1,013,500</w:t>
            </w:r>
          </w:p>
        </w:tc>
        <w:tc>
          <w:tcPr>
            <w:tcW w:w="1129" w:type="dxa"/>
            <w:vAlign w:val="center"/>
          </w:tcPr>
          <w:p w14:paraId="6D1FB637" w14:textId="2544EF82" w:rsidR="003B7D3C" w:rsidRPr="004536A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61,800</w:t>
            </w:r>
          </w:p>
        </w:tc>
        <w:tc>
          <w:tcPr>
            <w:tcW w:w="1129" w:type="dxa"/>
            <w:vAlign w:val="center"/>
          </w:tcPr>
          <w:p w14:paraId="749E50F1" w14:textId="3127B73E"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w:t>
            </w:r>
            <w:r w:rsidR="006979D8">
              <w:rPr>
                <w:rFonts w:cs="Times New Roman"/>
                <w:sz w:val="16"/>
                <w:szCs w:val="16"/>
              </w:rPr>
              <w:t>2,020</w:t>
            </w:r>
          </w:p>
        </w:tc>
        <w:tc>
          <w:tcPr>
            <w:tcW w:w="1130" w:type="dxa"/>
            <w:vAlign w:val="center"/>
          </w:tcPr>
          <w:p w14:paraId="78941C37" w14:textId="462CCF62"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r>
      <w:tr w:rsidR="003B7D3C" w:rsidRPr="004536A7" w14:paraId="01B998D6"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3990BF2" w14:textId="77777777" w:rsidR="003B7D3C" w:rsidRPr="004536A7" w:rsidRDefault="003B7D3C" w:rsidP="00D77306">
            <w:pPr>
              <w:spacing w:line="240" w:lineRule="auto"/>
              <w:jc w:val="center"/>
              <w:rPr>
                <w:rFonts w:cs="Times New Roman"/>
                <w:sz w:val="16"/>
                <w:szCs w:val="16"/>
              </w:rPr>
            </w:pPr>
            <w:r w:rsidRPr="004536A7">
              <w:rPr>
                <w:rFonts w:cs="Times New Roman"/>
                <w:sz w:val="16"/>
                <w:szCs w:val="16"/>
              </w:rPr>
              <w:t>Raisin</w:t>
            </w:r>
          </w:p>
        </w:tc>
        <w:tc>
          <w:tcPr>
            <w:tcW w:w="1128" w:type="dxa"/>
            <w:vAlign w:val="center"/>
          </w:tcPr>
          <w:p w14:paraId="216BE2B0" w14:textId="2A1145BE"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22</w:t>
            </w:r>
          </w:p>
        </w:tc>
        <w:tc>
          <w:tcPr>
            <w:tcW w:w="1129" w:type="dxa"/>
            <w:vAlign w:val="center"/>
          </w:tcPr>
          <w:p w14:paraId="42E42E03" w14:textId="534563A9"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130" w:type="dxa"/>
            <w:vAlign w:val="center"/>
          </w:tcPr>
          <w:p w14:paraId="46C60C25" w14:textId="2D153207"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27</w:t>
            </w:r>
          </w:p>
        </w:tc>
        <w:tc>
          <w:tcPr>
            <w:tcW w:w="1129" w:type="dxa"/>
            <w:vAlign w:val="center"/>
          </w:tcPr>
          <w:p w14:paraId="36CCC63A" w14:textId="43CE1756"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33,700</w:t>
            </w:r>
          </w:p>
        </w:tc>
        <w:tc>
          <w:tcPr>
            <w:tcW w:w="1129" w:type="dxa"/>
            <w:vAlign w:val="center"/>
          </w:tcPr>
          <w:p w14:paraId="68DD704A" w14:textId="0F92552D" w:rsidR="003B7D3C" w:rsidRPr="004536A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12,500</w:t>
            </w:r>
          </w:p>
        </w:tc>
        <w:tc>
          <w:tcPr>
            <w:tcW w:w="1129" w:type="dxa"/>
            <w:vAlign w:val="center"/>
          </w:tcPr>
          <w:p w14:paraId="1229C331" w14:textId="05BBBE0F" w:rsidR="003B7D3C" w:rsidRPr="004536A7" w:rsidRDefault="006979D8"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5,820</w:t>
            </w:r>
          </w:p>
        </w:tc>
        <w:tc>
          <w:tcPr>
            <w:tcW w:w="1130" w:type="dxa"/>
            <w:vAlign w:val="center"/>
          </w:tcPr>
          <w:p w14:paraId="6731EF63" w14:textId="69EBFC3F"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47</w:t>
            </w:r>
          </w:p>
        </w:tc>
      </w:tr>
    </w:tbl>
    <w:p w14:paraId="1C4D475C" w14:textId="655C577B" w:rsidR="00EB3B95" w:rsidRDefault="00EB3B95" w:rsidP="00E17422"/>
    <w:p w14:paraId="029A0C0D" w14:textId="6E5B1891" w:rsidR="008A7740" w:rsidRDefault="008A7740" w:rsidP="008A7740">
      <w:pPr>
        <w:pStyle w:val="Heading2"/>
      </w:pPr>
      <w:r>
        <w:t>Influence of recent trends</w:t>
      </w:r>
      <w:r w:rsidR="0011336B">
        <w:t xml:space="preserve"> (20</w:t>
      </w:r>
      <w:r w:rsidR="00862EAA">
        <w:t>0</w:t>
      </w:r>
      <w:r w:rsidR="008A1876">
        <w:t>8</w:t>
      </w:r>
      <w:r w:rsidR="0011336B">
        <w:t>-20</w:t>
      </w:r>
      <w:r w:rsidR="00862EAA">
        <w:t>15</w:t>
      </w:r>
      <w:r w:rsidR="0061184F">
        <w:t xml:space="preserve"> vs. 20</w:t>
      </w:r>
      <w:r w:rsidR="00862EAA">
        <w:t>15</w:t>
      </w:r>
      <w:r w:rsidR="0061184F">
        <w:t>-202</w:t>
      </w:r>
      <w:r w:rsidR="008A1876">
        <w:t>2</w:t>
      </w:r>
      <w:r w:rsidR="0011336B">
        <w:t>)</w:t>
      </w:r>
    </w:p>
    <w:p w14:paraId="4CED4F57" w14:textId="15066E93" w:rsidR="00351D83" w:rsidRDefault="00FC32AF" w:rsidP="00351D83">
      <w:pPr>
        <w:ind w:firstLine="360"/>
      </w:pPr>
      <w:r>
        <w:t xml:space="preserve">For SRP, </w:t>
      </w:r>
      <w:r w:rsidR="00171A81">
        <w:t xml:space="preserve">FN </w:t>
      </w:r>
      <w:r w:rsidR="00C415AC">
        <w:t xml:space="preserve">load </w:t>
      </w:r>
      <w:r w:rsidR="004E0BAE">
        <w:t>percent</w:t>
      </w:r>
      <w:r w:rsidR="000B34CA">
        <w:t xml:space="preserve"> change</w:t>
      </w:r>
      <w:r w:rsidR="004E0BAE">
        <w:t>s</w:t>
      </w:r>
      <w:r w:rsidR="00171A81">
        <w:t xml:space="preserve"> </w:t>
      </w:r>
      <w:r w:rsidR="00C415AC">
        <w:t xml:space="preserve">were </w:t>
      </w:r>
      <w:r w:rsidR="00171A81">
        <w:t>lower since 2015 for all sites</w:t>
      </w:r>
      <w:r w:rsidR="00C415AC">
        <w:t xml:space="preserve"> </w:t>
      </w:r>
      <w:r w:rsidR="00817095">
        <w:t>(</w:t>
      </w:r>
      <w:r w:rsidR="00C415AC">
        <w:t>Figure 2</w:t>
      </w:r>
      <w:r w:rsidR="00817095">
        <w:t>)</w:t>
      </w:r>
      <w:r w:rsidR="004F5794">
        <w:t xml:space="preserve">. </w:t>
      </w:r>
      <w:r w:rsidR="00C415AC">
        <w:t xml:space="preserve">At Maumee, Tiffin, and Raisin, the slope in FN SRP load flipped from a positive to a negative slope, indicating a reduction in FN SRP loads since the implementation of nutrient management regulations. Meanwhile, at Blanchard, the slope in FN SRP load was only a </w:t>
      </w:r>
      <w:r w:rsidR="006326CF">
        <w:t>lower posit</w:t>
      </w:r>
      <w:r w:rsidR="00C415AC">
        <w:t>ive slope</w:t>
      </w:r>
      <w:r w:rsidR="00335704">
        <w:t>, indicating a continued increase in FN SRP loads since 2015, albeit a lower rate of increase</w:t>
      </w:r>
      <w:r w:rsidR="006326CF">
        <w:t xml:space="preserve">. </w:t>
      </w:r>
      <w:r w:rsidR="00335704">
        <w:t>For TP, two sites (</w:t>
      </w:r>
      <w:r w:rsidR="00351D83">
        <w:t>Tiffin and Raisin</w:t>
      </w:r>
      <w:r w:rsidR="00335704">
        <w:t xml:space="preserve">) had lower </w:t>
      </w:r>
      <w:r w:rsidR="00351D83">
        <w:t>slopes in FN loads during</w:t>
      </w:r>
      <w:r w:rsidR="00335704">
        <w:t xml:space="preserve"> recent years, while the other two sites</w:t>
      </w:r>
      <w:r w:rsidR="00351D83">
        <w:t xml:space="preserve"> (Blanchard and Maumee)</w:t>
      </w:r>
      <w:r w:rsidR="00335704">
        <w:t xml:space="preserve"> flipped from a negative to a positive </w:t>
      </w:r>
      <w:r w:rsidR="00351D83">
        <w:t>slope</w:t>
      </w:r>
      <w:r w:rsidR="00335704">
        <w:t xml:space="preserve"> (</w:t>
      </w:r>
      <w:r w:rsidR="00351D83">
        <w:t>Figure 2</w:t>
      </w:r>
      <w:r w:rsidR="00335704">
        <w:t xml:space="preserve">). </w:t>
      </w:r>
      <w:r w:rsidR="00351D83">
        <w:t xml:space="preserve">Although both Tiffin and Raisin had lower slopes, they were still positive in recent years. For TSS, Blanchard, Maumee, and Raisin had increases in the slope of FN TSS loads since 2015. Only Tiffin showed a reduction in the slope of the FN TSS load. Notably, both Maumee and Blanchard changed from a reduction in FN TSS loads prior to 2015 to an increase in FN TSS after 2015. No site showed a reduction in FN TP or TSS loads since 2015. </w:t>
      </w:r>
    </w:p>
    <w:p w14:paraId="1A02C2BE" w14:textId="77777777" w:rsidR="00335704" w:rsidRDefault="00335704" w:rsidP="00474CA1">
      <w:pPr>
        <w:ind w:firstLine="360"/>
      </w:pPr>
    </w:p>
    <w:p w14:paraId="71CFB531" w14:textId="77777777" w:rsidR="00335704" w:rsidRDefault="00335704" w:rsidP="00474CA1">
      <w:pPr>
        <w:ind w:firstLine="360"/>
      </w:pPr>
    </w:p>
    <w:p w14:paraId="2FA955E7" w14:textId="3A70ED0B" w:rsidR="000B34CA" w:rsidRDefault="002545B7" w:rsidP="00761392">
      <w:pPr>
        <w:ind w:firstLine="720"/>
        <w:jc w:val="center"/>
      </w:pPr>
      <w:r>
        <w:rPr>
          <w:noProof/>
        </w:rPr>
        <w:lastRenderedPageBreak/>
        <w:drawing>
          <wp:inline distT="0" distB="0" distL="0" distR="0" wp14:anchorId="1433899E" wp14:editId="78DD275F">
            <wp:extent cx="2770632" cy="457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632" cy="4572000"/>
                    </a:xfrm>
                    <a:prstGeom prst="rect">
                      <a:avLst/>
                    </a:prstGeom>
                  </pic:spPr>
                </pic:pic>
              </a:graphicData>
            </a:graphic>
          </wp:inline>
        </w:drawing>
      </w:r>
    </w:p>
    <w:p w14:paraId="4CAB13F9" w14:textId="08528A4F" w:rsidR="002545B7" w:rsidRPr="0085588B" w:rsidRDefault="002545B7" w:rsidP="002545B7">
      <w:pPr>
        <w:pStyle w:val="Caption"/>
      </w:pPr>
      <w:r>
        <w:t xml:space="preserve">Figure 2: </w:t>
      </w:r>
      <w:r w:rsidR="00474CA1">
        <w:t>Comparison of slopes in the FN load trends for SRP, TP, and TSS between the pre period (2008-2015) and the post period (2015-2022) for each site. Trends are in units of percent change per year.</w:t>
      </w:r>
    </w:p>
    <w:p w14:paraId="19429CE2" w14:textId="4D05122C" w:rsidR="002545B7" w:rsidRDefault="002545B7" w:rsidP="000B34CA">
      <w:pPr>
        <w:ind w:firstLine="720"/>
      </w:pPr>
    </w:p>
    <w:p w14:paraId="5D9264CC" w14:textId="6C46AD99" w:rsidR="00D9268F" w:rsidRDefault="00552A1A" w:rsidP="002545B7">
      <w:pPr>
        <w:pStyle w:val="Heading2"/>
      </w:pPr>
      <w:r>
        <w:t xml:space="preserve">Spring </w:t>
      </w:r>
      <w:r w:rsidR="00A3285A">
        <w:t>(Mar-Jul) P dynamics in WLEB streams and rivers</w:t>
      </w:r>
    </w:p>
    <w:p w14:paraId="3039DA92" w14:textId="456BCF77" w:rsidR="00334747" w:rsidRDefault="0086141C" w:rsidP="00334747">
      <w:pPr>
        <w:ind w:firstLine="720"/>
      </w:pPr>
      <w:r>
        <w:t>The P fluxes released during the spring season ranged from 4</w:t>
      </w:r>
      <w:r w:rsidR="00334747">
        <w:t>9</w:t>
      </w:r>
      <w:r>
        <w:t xml:space="preserve"> to 52% of the annual SRP FN flux (Table </w:t>
      </w:r>
      <w:r w:rsidR="00334747">
        <w:t>7</w:t>
      </w:r>
      <w:r>
        <w:t xml:space="preserve">).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4AF80841" w:rsidR="0086141C" w:rsidRDefault="00334747" w:rsidP="007815EA">
      <w:pPr>
        <w:ind w:firstLine="720"/>
      </w:pPr>
      <w:r>
        <w:t xml:space="preserve">Over the entire period of record, spring SRP FN fluxes decreased </w:t>
      </w:r>
      <w:r w:rsidR="007815EA">
        <w:t>by 9 and 10% at</w:t>
      </w:r>
      <w:r>
        <w:t xml:space="preserve"> Tiffin and Maumee</w:t>
      </w:r>
      <w:r w:rsidR="007815EA">
        <w:t>, respectively</w:t>
      </w:r>
      <w:r>
        <w:t xml:space="preserve"> and increased</w:t>
      </w:r>
      <w:r w:rsidR="007815EA">
        <w:t xml:space="preserve"> by 33 and 22% at</w:t>
      </w:r>
      <w:r>
        <w:t xml:space="preserve"> Blanchard and Raisin</w:t>
      </w:r>
      <w:r w:rsidR="007815EA">
        <w:t>, respectively</w:t>
      </w:r>
      <w:r>
        <w:t xml:space="preserve"> </w:t>
      </w:r>
      <w:r>
        <w:lastRenderedPageBreak/>
        <w:t xml:space="preserve">(Table 7). </w:t>
      </w:r>
      <w:r w:rsidR="0086141C">
        <w:t>From 200</w:t>
      </w:r>
      <w:r w:rsidR="007D0C12">
        <w:t>9 to 2015</w:t>
      </w:r>
      <w:r w:rsidR="0086141C">
        <w:t xml:space="preserve">, spring SRP </w:t>
      </w:r>
      <w:r w:rsidR="007D0C12">
        <w:t xml:space="preserve">FN </w:t>
      </w:r>
      <w:r w:rsidR="0086141C">
        <w:t>fluxes</w:t>
      </w:r>
      <w:r>
        <w:t xml:space="preserve"> increased at three of the four sites</w:t>
      </w:r>
      <w:r w:rsidR="0086141C">
        <w:t>, with only</w:t>
      </w:r>
      <w:r w:rsidR="007D0C12">
        <w:t xml:space="preserve"> </w:t>
      </w:r>
      <w:r w:rsidR="0086141C">
        <w:t>Maumee showing</w:t>
      </w:r>
      <w:r w:rsidR="007D0C12">
        <w:t xml:space="preserve"> a</w:t>
      </w:r>
      <w:r w:rsidR="0086141C">
        <w:t xml:space="preserve"> </w:t>
      </w:r>
      <w:r>
        <w:t>decrease</w:t>
      </w:r>
      <w:r w:rsidR="0086141C">
        <w:t xml:space="preserve">. The greatest of these upward trends occurred at the </w:t>
      </w:r>
      <w:r w:rsidR="007D0C12">
        <w:t xml:space="preserve">Raisin </w:t>
      </w:r>
      <w:r w:rsidR="0086141C">
        <w:t>site</w:t>
      </w:r>
      <w:r w:rsidR="007D0C12">
        <w:t xml:space="preserve"> (</w:t>
      </w:r>
      <w:r>
        <w:t>35</w:t>
      </w:r>
      <w:r w:rsidR="007D0C12">
        <w:t>%)</w:t>
      </w:r>
      <w:r w:rsidR="0086141C">
        <w:t>.</w:t>
      </w:r>
      <w:r w:rsidR="007D0C12">
        <w:t xml:space="preserve"> From 2015 to 2022</w:t>
      </w:r>
      <w:r w:rsidR="0086141C">
        <w:t>, spring SRP FN flux trends were either weaker upward, transition</w:t>
      </w:r>
      <w:r w:rsidR="007D0C12">
        <w:t>ed</w:t>
      </w:r>
      <w:r w:rsidR="0086141C">
        <w:t xml:space="preserve"> to downward, or stronger downward trends at every site. These results suggest that efforts to reduce SRP export and improve water quality in the basin has been having a positive effect – if only a slight positive effect.</w:t>
      </w:r>
    </w:p>
    <w:p w14:paraId="740EDD42" w14:textId="380631EB" w:rsidR="00E24710" w:rsidRPr="00E24710" w:rsidRDefault="00E24710" w:rsidP="00E24710">
      <w:pPr>
        <w:pStyle w:val="Caption"/>
      </w:pPr>
      <w:r>
        <w:t xml:space="preserve">Table </w:t>
      </w:r>
      <w:r w:rsidR="007D0C12">
        <w:t>7</w:t>
      </w:r>
      <w:r>
        <w:t xml:space="preserve">: Overview of SRP FN flux </w:t>
      </w:r>
      <w:r w:rsidR="00B22E84">
        <w:t xml:space="preserve">trends </w:t>
      </w:r>
      <w:r>
        <w:t>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322"/>
        <w:gridCol w:w="1288"/>
        <w:gridCol w:w="1350"/>
        <w:gridCol w:w="78"/>
        <w:gridCol w:w="1182"/>
        <w:gridCol w:w="1340"/>
      </w:tblGrid>
      <w:tr w:rsidR="0076584D" w:rsidRPr="00037B5E" w14:paraId="7DBBAC59" w14:textId="77777777" w:rsidTr="001809AE">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1322" w:type="dxa"/>
            <w:vMerge w:val="restart"/>
            <w:tcBorders>
              <w:top w:val="single" w:sz="4" w:space="0" w:color="auto"/>
            </w:tcBorders>
            <w:vAlign w:val="center"/>
          </w:tcPr>
          <w:p w14:paraId="097D1394" w14:textId="754AB6FD" w:rsidR="0076584D" w:rsidRPr="001809AE" w:rsidRDefault="001809AE" w:rsidP="00C43D60">
            <w:pPr>
              <w:spacing w:line="240" w:lineRule="auto"/>
              <w:jc w:val="center"/>
              <w:rPr>
                <w:rFonts w:cs="Times New Roman"/>
                <w:sz w:val="20"/>
                <w:szCs w:val="20"/>
              </w:rPr>
            </w:pPr>
            <w:r w:rsidRPr="001809AE">
              <w:rPr>
                <w:rFonts w:cs="Times New Roman"/>
                <w:sz w:val="20"/>
                <w:szCs w:val="20"/>
              </w:rPr>
              <w:t>Sites</w:t>
            </w:r>
          </w:p>
        </w:tc>
        <w:tc>
          <w:tcPr>
            <w:tcW w:w="1288" w:type="dxa"/>
            <w:vMerge w:val="restart"/>
            <w:tcBorders>
              <w:top w:val="single" w:sz="4" w:space="0" w:color="auto"/>
            </w:tcBorders>
            <w:vAlign w:val="center"/>
          </w:tcPr>
          <w:p w14:paraId="1E64D91A" w14:textId="77777777"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Percentage of annual FN trend</w:t>
            </w:r>
          </w:p>
        </w:tc>
        <w:tc>
          <w:tcPr>
            <w:tcW w:w="1428" w:type="dxa"/>
            <w:gridSpan w:val="2"/>
            <w:tcBorders>
              <w:top w:val="single" w:sz="4" w:space="0" w:color="auto"/>
              <w:bottom w:val="single" w:sz="4" w:space="0" w:color="auto"/>
            </w:tcBorders>
          </w:tcPr>
          <w:p w14:paraId="343E2A6B" w14:textId="77777777"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522" w:type="dxa"/>
            <w:gridSpan w:val="2"/>
            <w:tcBorders>
              <w:top w:val="single" w:sz="4" w:space="0" w:color="auto"/>
              <w:bottom w:val="single" w:sz="4" w:space="0" w:color="auto"/>
            </w:tcBorders>
            <w:vAlign w:val="center"/>
          </w:tcPr>
          <w:p w14:paraId="1DE98719" w14:textId="22CD2CD8"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FN flux trends</w:t>
            </w:r>
          </w:p>
        </w:tc>
      </w:tr>
      <w:tr w:rsidR="0076584D" w:rsidRPr="00037B5E" w14:paraId="2733AD01"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vMerge/>
            <w:tcBorders>
              <w:bottom w:val="single" w:sz="4" w:space="0" w:color="auto"/>
            </w:tcBorders>
            <w:vAlign w:val="center"/>
          </w:tcPr>
          <w:p w14:paraId="23CFD90E" w14:textId="0D4E191D" w:rsidR="0076584D" w:rsidRPr="001809AE" w:rsidRDefault="0076584D" w:rsidP="0076584D">
            <w:pPr>
              <w:spacing w:line="240" w:lineRule="auto"/>
              <w:jc w:val="center"/>
              <w:rPr>
                <w:rFonts w:cs="Times New Roman"/>
                <w:sz w:val="20"/>
                <w:szCs w:val="20"/>
              </w:rPr>
            </w:pPr>
          </w:p>
        </w:tc>
        <w:tc>
          <w:tcPr>
            <w:tcW w:w="1288" w:type="dxa"/>
            <w:vMerge/>
            <w:tcBorders>
              <w:bottom w:val="single" w:sz="4" w:space="0" w:color="auto"/>
            </w:tcBorders>
            <w:vAlign w:val="center"/>
          </w:tcPr>
          <w:p w14:paraId="77C6B856"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350" w:type="dxa"/>
            <w:tcBorders>
              <w:top w:val="single" w:sz="4" w:space="0" w:color="auto"/>
              <w:bottom w:val="single" w:sz="4" w:space="0" w:color="auto"/>
            </w:tcBorders>
            <w:vAlign w:val="center"/>
          </w:tcPr>
          <w:p w14:paraId="145A8DA2"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 xml:space="preserve">Pre </w:t>
            </w:r>
          </w:p>
          <w:p w14:paraId="1D9ABBAC" w14:textId="0244616F"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(2008-2015)</w:t>
            </w:r>
          </w:p>
        </w:tc>
        <w:tc>
          <w:tcPr>
            <w:tcW w:w="1260" w:type="dxa"/>
            <w:gridSpan w:val="2"/>
            <w:tcBorders>
              <w:top w:val="single" w:sz="4" w:space="0" w:color="auto"/>
              <w:bottom w:val="single" w:sz="4" w:space="0" w:color="auto"/>
            </w:tcBorders>
            <w:vAlign w:val="center"/>
          </w:tcPr>
          <w:p w14:paraId="381FC8B1"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 xml:space="preserve">Post </w:t>
            </w:r>
          </w:p>
          <w:p w14:paraId="7C99BF7C" w14:textId="19E66E3D"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(2015-2021)</w:t>
            </w:r>
          </w:p>
        </w:tc>
        <w:tc>
          <w:tcPr>
            <w:tcW w:w="1340" w:type="dxa"/>
            <w:tcBorders>
              <w:top w:val="single" w:sz="4" w:space="0" w:color="auto"/>
              <w:bottom w:val="single" w:sz="4" w:space="0" w:color="auto"/>
            </w:tcBorders>
            <w:vAlign w:val="center"/>
          </w:tcPr>
          <w:p w14:paraId="541E75D9" w14:textId="4F26ADCD"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Whole Period (2008-2022)</w:t>
            </w:r>
          </w:p>
        </w:tc>
      </w:tr>
      <w:tr w:rsidR="001809AE" w:rsidRPr="00037B5E" w14:paraId="7E4A1BA1"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0480BCBC" w14:textId="6031119B" w:rsidR="001809AE" w:rsidRPr="001809AE" w:rsidRDefault="001809AE" w:rsidP="001809AE">
            <w:pPr>
              <w:spacing w:line="240" w:lineRule="auto"/>
              <w:rPr>
                <w:rFonts w:cs="Times New Roman"/>
                <w:sz w:val="20"/>
                <w:szCs w:val="20"/>
              </w:rPr>
            </w:pPr>
            <w:r w:rsidRPr="001809AE">
              <w:rPr>
                <w:rFonts w:cs="Times New Roman"/>
                <w:sz w:val="20"/>
                <w:szCs w:val="20"/>
              </w:rPr>
              <w:t>Tiffin</w:t>
            </w:r>
          </w:p>
        </w:tc>
        <w:tc>
          <w:tcPr>
            <w:tcW w:w="1288" w:type="dxa"/>
            <w:tcBorders>
              <w:top w:val="single" w:sz="4" w:space="0" w:color="auto"/>
              <w:bottom w:val="single" w:sz="4" w:space="0" w:color="auto"/>
            </w:tcBorders>
            <w:vAlign w:val="center"/>
          </w:tcPr>
          <w:p w14:paraId="59D522B4" w14:textId="280C7A6E"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1809AE">
              <w:rPr>
                <w:rFonts w:cs="Times New Roman"/>
                <w:sz w:val="20"/>
                <w:szCs w:val="20"/>
              </w:rPr>
              <w:t>51</w:t>
            </w:r>
          </w:p>
        </w:tc>
        <w:tc>
          <w:tcPr>
            <w:tcW w:w="1350" w:type="dxa"/>
            <w:tcBorders>
              <w:top w:val="single" w:sz="4" w:space="0" w:color="auto"/>
              <w:left w:val="nil"/>
              <w:bottom w:val="single" w:sz="4" w:space="0" w:color="auto"/>
              <w:right w:val="nil"/>
            </w:tcBorders>
            <w:shd w:val="clear" w:color="auto" w:fill="auto"/>
            <w:vAlign w:val="center"/>
          </w:tcPr>
          <w:p w14:paraId="60A14C40" w14:textId="654F36FA"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7</w:t>
            </w:r>
          </w:p>
        </w:tc>
        <w:tc>
          <w:tcPr>
            <w:tcW w:w="1260" w:type="dxa"/>
            <w:gridSpan w:val="2"/>
            <w:tcBorders>
              <w:top w:val="single" w:sz="4" w:space="0" w:color="auto"/>
              <w:left w:val="nil"/>
              <w:bottom w:val="single" w:sz="4" w:space="0" w:color="auto"/>
              <w:right w:val="nil"/>
            </w:tcBorders>
            <w:shd w:val="clear" w:color="auto" w:fill="auto"/>
            <w:vAlign w:val="center"/>
          </w:tcPr>
          <w:p w14:paraId="5269A8BA" w14:textId="481F8FBE"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-15</w:t>
            </w:r>
          </w:p>
        </w:tc>
        <w:tc>
          <w:tcPr>
            <w:tcW w:w="1340" w:type="dxa"/>
            <w:tcBorders>
              <w:top w:val="single" w:sz="4" w:space="0" w:color="auto"/>
              <w:left w:val="nil"/>
              <w:bottom w:val="single" w:sz="4" w:space="0" w:color="auto"/>
              <w:right w:val="nil"/>
            </w:tcBorders>
            <w:shd w:val="clear" w:color="auto" w:fill="auto"/>
            <w:vAlign w:val="center"/>
          </w:tcPr>
          <w:p w14:paraId="26F70C91" w14:textId="7DDA45EF"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-9</w:t>
            </w:r>
          </w:p>
        </w:tc>
      </w:tr>
      <w:tr w:rsidR="001809AE" w:rsidRPr="00037B5E" w14:paraId="6AD2CF20"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7C12F6BB" w14:textId="54EFFE28" w:rsidR="001809AE" w:rsidRPr="001809AE" w:rsidRDefault="001809AE" w:rsidP="001809AE">
            <w:pPr>
              <w:spacing w:line="240" w:lineRule="auto"/>
              <w:rPr>
                <w:rFonts w:cs="Times New Roman"/>
                <w:sz w:val="20"/>
                <w:szCs w:val="20"/>
              </w:rPr>
            </w:pPr>
            <w:r w:rsidRPr="001809AE">
              <w:rPr>
                <w:rFonts w:cs="Times New Roman"/>
                <w:sz w:val="20"/>
                <w:szCs w:val="20"/>
              </w:rPr>
              <w:t>Blanchard</w:t>
            </w:r>
          </w:p>
        </w:tc>
        <w:tc>
          <w:tcPr>
            <w:tcW w:w="1288" w:type="dxa"/>
            <w:tcBorders>
              <w:top w:val="single" w:sz="4" w:space="0" w:color="auto"/>
              <w:bottom w:val="single" w:sz="4" w:space="0" w:color="auto"/>
            </w:tcBorders>
            <w:vAlign w:val="center"/>
          </w:tcPr>
          <w:p w14:paraId="7E905EE3" w14:textId="18512016"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49</w:t>
            </w:r>
          </w:p>
        </w:tc>
        <w:tc>
          <w:tcPr>
            <w:tcW w:w="1350" w:type="dxa"/>
            <w:tcBorders>
              <w:top w:val="single" w:sz="4" w:space="0" w:color="auto"/>
              <w:left w:val="nil"/>
              <w:bottom w:val="single" w:sz="4" w:space="0" w:color="auto"/>
              <w:right w:val="nil"/>
            </w:tcBorders>
            <w:shd w:val="clear" w:color="auto" w:fill="auto"/>
            <w:vAlign w:val="center"/>
          </w:tcPr>
          <w:p w14:paraId="03952D85" w14:textId="2AF2FA5C"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19</w:t>
            </w:r>
          </w:p>
        </w:tc>
        <w:tc>
          <w:tcPr>
            <w:tcW w:w="1260" w:type="dxa"/>
            <w:gridSpan w:val="2"/>
            <w:tcBorders>
              <w:top w:val="single" w:sz="4" w:space="0" w:color="auto"/>
              <w:left w:val="nil"/>
              <w:bottom w:val="single" w:sz="4" w:space="0" w:color="auto"/>
              <w:right w:val="nil"/>
            </w:tcBorders>
            <w:shd w:val="clear" w:color="auto" w:fill="auto"/>
            <w:vAlign w:val="center"/>
          </w:tcPr>
          <w:p w14:paraId="38A3B321" w14:textId="08AA8463"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12</w:t>
            </w:r>
          </w:p>
        </w:tc>
        <w:tc>
          <w:tcPr>
            <w:tcW w:w="1340" w:type="dxa"/>
            <w:tcBorders>
              <w:top w:val="single" w:sz="4" w:space="0" w:color="auto"/>
              <w:left w:val="nil"/>
              <w:bottom w:val="single" w:sz="4" w:space="0" w:color="auto"/>
              <w:right w:val="nil"/>
            </w:tcBorders>
            <w:shd w:val="clear" w:color="auto" w:fill="auto"/>
            <w:vAlign w:val="center"/>
          </w:tcPr>
          <w:p w14:paraId="0CFFEEF5" w14:textId="10A581B7"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33</w:t>
            </w:r>
          </w:p>
        </w:tc>
      </w:tr>
      <w:tr w:rsidR="001809AE" w:rsidRPr="00037B5E" w14:paraId="3137919C"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3460EBB9" w14:textId="4FF777A6" w:rsidR="001809AE" w:rsidRPr="001809AE" w:rsidRDefault="001809AE" w:rsidP="001809AE">
            <w:pPr>
              <w:spacing w:line="240" w:lineRule="auto"/>
              <w:rPr>
                <w:rFonts w:cs="Times New Roman"/>
                <w:sz w:val="20"/>
                <w:szCs w:val="20"/>
              </w:rPr>
            </w:pPr>
            <w:r w:rsidRPr="001809AE">
              <w:rPr>
                <w:rFonts w:cs="Times New Roman"/>
                <w:sz w:val="20"/>
                <w:szCs w:val="20"/>
              </w:rPr>
              <w:t>Maumee</w:t>
            </w:r>
          </w:p>
        </w:tc>
        <w:tc>
          <w:tcPr>
            <w:tcW w:w="1288" w:type="dxa"/>
            <w:tcBorders>
              <w:top w:val="single" w:sz="4" w:space="0" w:color="auto"/>
              <w:bottom w:val="single" w:sz="4" w:space="0" w:color="auto"/>
            </w:tcBorders>
            <w:vAlign w:val="center"/>
          </w:tcPr>
          <w:p w14:paraId="053FDDAB" w14:textId="5925401C"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52</w:t>
            </w:r>
          </w:p>
        </w:tc>
        <w:tc>
          <w:tcPr>
            <w:tcW w:w="1350" w:type="dxa"/>
            <w:tcBorders>
              <w:top w:val="single" w:sz="4" w:space="0" w:color="auto"/>
              <w:left w:val="nil"/>
              <w:bottom w:val="single" w:sz="4" w:space="0" w:color="auto"/>
              <w:right w:val="nil"/>
            </w:tcBorders>
            <w:shd w:val="clear" w:color="auto" w:fill="auto"/>
            <w:vAlign w:val="bottom"/>
          </w:tcPr>
          <w:p w14:paraId="7E27AB34" w14:textId="386E025A"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-3</w:t>
            </w:r>
          </w:p>
        </w:tc>
        <w:tc>
          <w:tcPr>
            <w:tcW w:w="1260" w:type="dxa"/>
            <w:gridSpan w:val="2"/>
            <w:tcBorders>
              <w:top w:val="single" w:sz="4" w:space="0" w:color="auto"/>
              <w:left w:val="nil"/>
              <w:bottom w:val="single" w:sz="4" w:space="0" w:color="auto"/>
              <w:right w:val="nil"/>
            </w:tcBorders>
            <w:shd w:val="clear" w:color="auto" w:fill="auto"/>
            <w:vAlign w:val="bottom"/>
          </w:tcPr>
          <w:p w14:paraId="0A1CD6C2" w14:textId="6F5D0B5D"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-7</w:t>
            </w:r>
          </w:p>
        </w:tc>
        <w:tc>
          <w:tcPr>
            <w:tcW w:w="1340" w:type="dxa"/>
            <w:tcBorders>
              <w:top w:val="single" w:sz="4" w:space="0" w:color="auto"/>
              <w:left w:val="nil"/>
              <w:bottom w:val="single" w:sz="4" w:space="0" w:color="auto"/>
              <w:right w:val="nil"/>
            </w:tcBorders>
            <w:shd w:val="clear" w:color="auto" w:fill="auto"/>
            <w:vAlign w:val="bottom"/>
          </w:tcPr>
          <w:p w14:paraId="52DFF209" w14:textId="5F89D25D"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-10</w:t>
            </w:r>
          </w:p>
        </w:tc>
      </w:tr>
      <w:tr w:rsidR="001809AE" w:rsidRPr="00037B5E" w14:paraId="07A9755A"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21AF201D" w14:textId="1A16E66D" w:rsidR="001809AE" w:rsidRPr="001809AE" w:rsidRDefault="001809AE" w:rsidP="001809AE">
            <w:pPr>
              <w:spacing w:line="240" w:lineRule="auto"/>
              <w:rPr>
                <w:rFonts w:cs="Times New Roman"/>
                <w:sz w:val="20"/>
                <w:szCs w:val="20"/>
              </w:rPr>
            </w:pPr>
            <w:r w:rsidRPr="001809AE">
              <w:rPr>
                <w:rFonts w:cs="Times New Roman"/>
                <w:sz w:val="20"/>
                <w:szCs w:val="20"/>
              </w:rPr>
              <w:t>Raisin</w:t>
            </w:r>
          </w:p>
        </w:tc>
        <w:tc>
          <w:tcPr>
            <w:tcW w:w="1288" w:type="dxa"/>
            <w:tcBorders>
              <w:top w:val="single" w:sz="4" w:space="0" w:color="auto"/>
              <w:bottom w:val="single" w:sz="4" w:space="0" w:color="auto"/>
            </w:tcBorders>
            <w:vAlign w:val="center"/>
          </w:tcPr>
          <w:p w14:paraId="566FC3B0" w14:textId="7F306D5F"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51</w:t>
            </w:r>
          </w:p>
        </w:tc>
        <w:tc>
          <w:tcPr>
            <w:tcW w:w="1350" w:type="dxa"/>
            <w:tcBorders>
              <w:top w:val="single" w:sz="4" w:space="0" w:color="auto"/>
              <w:left w:val="nil"/>
              <w:bottom w:val="single" w:sz="4" w:space="0" w:color="auto"/>
              <w:right w:val="nil"/>
            </w:tcBorders>
            <w:shd w:val="clear" w:color="auto" w:fill="auto"/>
            <w:vAlign w:val="center"/>
          </w:tcPr>
          <w:p w14:paraId="18B317E6" w14:textId="6145D827"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36</w:t>
            </w:r>
          </w:p>
        </w:tc>
        <w:tc>
          <w:tcPr>
            <w:tcW w:w="1260" w:type="dxa"/>
            <w:gridSpan w:val="2"/>
            <w:tcBorders>
              <w:top w:val="single" w:sz="4" w:space="0" w:color="auto"/>
              <w:left w:val="nil"/>
              <w:bottom w:val="single" w:sz="4" w:space="0" w:color="auto"/>
              <w:right w:val="nil"/>
            </w:tcBorders>
            <w:shd w:val="clear" w:color="auto" w:fill="auto"/>
            <w:vAlign w:val="center"/>
          </w:tcPr>
          <w:p w14:paraId="56BF051F" w14:textId="5483277E"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-10</w:t>
            </w:r>
          </w:p>
        </w:tc>
        <w:tc>
          <w:tcPr>
            <w:tcW w:w="1340" w:type="dxa"/>
            <w:tcBorders>
              <w:top w:val="single" w:sz="4" w:space="0" w:color="auto"/>
              <w:left w:val="nil"/>
              <w:bottom w:val="single" w:sz="4" w:space="0" w:color="auto"/>
              <w:right w:val="nil"/>
            </w:tcBorders>
            <w:shd w:val="clear" w:color="auto" w:fill="auto"/>
            <w:vAlign w:val="center"/>
          </w:tcPr>
          <w:p w14:paraId="29A887AE" w14:textId="468F0256"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22</w:t>
            </w:r>
          </w:p>
        </w:tc>
      </w:tr>
    </w:tbl>
    <w:p w14:paraId="4DDD9AA3" w14:textId="77777777" w:rsidR="00ED74D5" w:rsidRPr="00BF765F" w:rsidRDefault="00ED74D5" w:rsidP="00BF765F"/>
    <w:p w14:paraId="0DCA4CA1" w14:textId="527347B8" w:rsidR="00E5593C" w:rsidRDefault="00E5593C" w:rsidP="00E5593C">
      <w:pPr>
        <w:pStyle w:val="Heading1"/>
      </w:pPr>
      <w:r>
        <w:t>Discussion</w:t>
      </w:r>
    </w:p>
    <w:p w14:paraId="4760B721" w14:textId="51575834" w:rsidR="00CB1B73" w:rsidRPr="00284B69" w:rsidRDefault="00284B69" w:rsidP="00417F32">
      <w:pPr>
        <w:ind w:firstLine="432"/>
      </w:pPr>
      <w:r>
        <w:t xml:space="preserve">This study indicated that the nutrient management regulations have likely had a mixed effect on P and TSS export into the WLEB. For the positive effects, we observed a decrease in the daily flow-weighted SRP, TP, and TSS concentrations during both the frozen soil and thaw seasons, which is consistent with the expectations of the 2015 nutrient management rules (Table 3). Additionally, there was a decline in FN SRP flux in the Maumee River basin from 2008 to 2022 and within that change, a greater rate of decline since the nutrient management regulations were implemented (Table 7). Furthermore, </w:t>
      </w:r>
      <w:r w:rsidR="004F3EF9">
        <w:t>where T</w:t>
      </w:r>
      <w:r>
        <w:t xml:space="preserve">P and TSS delivery </w:t>
      </w:r>
      <w:r w:rsidR="004F3EF9">
        <w:t xml:space="preserve">increased in the Maumee River basin, this increase was </w:t>
      </w:r>
      <w:r w:rsidR="006979D8">
        <w:t>still lower in magnitude than the</w:t>
      </w:r>
      <w:r w:rsidR="004F3EF9">
        <w:t xml:space="preserve"> increase observed in </w:t>
      </w:r>
      <w:r w:rsidR="006979D8">
        <w:t xml:space="preserve">the River Raisin over the same period suggesting that actions to reduce nutrient loss in the Maumee River basin </w:t>
      </w:r>
      <w:r w:rsidR="006979D8">
        <w:lastRenderedPageBreak/>
        <w:t>may be mitigating increases even though reductions are not being observed.</w:t>
      </w:r>
      <w:r w:rsidR="00CB1B73">
        <w:t xml:space="preserve"> Although positive effects were observed, these positive effects were not observed in all sub-watersheds of the Maumee River. Moreover, the declines in P and TSS delivery to the Maumee River and subsequently the WLEB during frozen and thaw periods appear to be moderately counteracted by increased P and TSS delivery during the spring and fall seasons. </w:t>
      </w:r>
      <w:r w:rsidR="00417F32">
        <w:t>I</w:t>
      </w:r>
      <w:r w:rsidR="00CB1B73">
        <w:t xml:space="preserve">ncreases in </w:t>
      </w:r>
      <w:r w:rsidR="00417F32">
        <w:t xml:space="preserve">FN </w:t>
      </w:r>
      <w:r w:rsidR="00CB1B73">
        <w:t>TP</w:t>
      </w:r>
      <w:r w:rsidR="00417F32">
        <w:t xml:space="preserve"> delivery in all watersheds suggests that the recently implemented nutrient reduction strategies have either a) only had a mitigating effect on TP losses within the basin or b) have actively increased the amount of TP released from non-point sources. </w:t>
      </w:r>
      <w:r w:rsidR="0085578E">
        <w:t xml:space="preserve">Outside of positive or negative effects, the differences between concentration and flux changes over the period allowed for an investigation into the relationship between flow condition and phosphorus delivery. </w:t>
      </w:r>
      <w:r w:rsidR="00417F32">
        <w:t>Finally, it should be mentioned that the trends present herein are subject to uncertainty and the relatively small percent changes have the potential to offset by estimation errors.</w:t>
      </w:r>
    </w:p>
    <w:p w14:paraId="526A625C" w14:textId="40EACA28" w:rsidR="006976C7" w:rsidRDefault="00000847" w:rsidP="00B24DA9">
      <w:pPr>
        <w:pStyle w:val="Heading2"/>
      </w:pPr>
      <w:r>
        <w:t>Influence of nutrient management regulations</w:t>
      </w:r>
      <w:r w:rsidR="00417F32">
        <w:t xml:space="preserve"> on </w:t>
      </w:r>
      <w:r>
        <w:t>P and TSS delivery</w:t>
      </w:r>
    </w:p>
    <w:p w14:paraId="5E86FB34" w14:textId="73D2518D" w:rsidR="00000847" w:rsidRDefault="00000847" w:rsidP="00F0282F">
      <w:pPr>
        <w:pStyle w:val="Heading3"/>
      </w:pPr>
      <w:r>
        <w:t xml:space="preserve">Improvement in Maumee River </w:t>
      </w:r>
      <w:r w:rsidR="00F65817">
        <w:t>Basin</w:t>
      </w:r>
    </w:p>
    <w:p w14:paraId="64B7A097" w14:textId="7FFC147C" w:rsidR="006D30C9" w:rsidRDefault="00000847" w:rsidP="008C7009">
      <w:pPr>
        <w:ind w:firstLine="720"/>
      </w:pPr>
      <w:r>
        <w:t>The nutrient management regulations appear to have a reduced the amount of SRP, TP, and TSS delivered to the WLEB from the Maumee River during frozen and thaw periods, along with trend of decreasing spring SRP loads.</w:t>
      </w:r>
      <w:r w:rsidR="00B8706C">
        <w:t xml:space="preserve"> </w:t>
      </w:r>
      <w:r w:rsidR="00FC53F4">
        <w:t xml:space="preserve">We expected phosphorus concentrations, especially SRP concentrations, to decline </w:t>
      </w:r>
      <w:r w:rsidR="00D6072C">
        <w:t>during the frozen and thaw seasons in response to restriction on manure application on frozen or snow-covered soils.</w:t>
      </w:r>
      <w:r w:rsidR="008C7009">
        <w:t xml:space="preserve"> </w:t>
      </w:r>
      <w:r w:rsidR="00D6072C">
        <w:t xml:space="preserve">Our results matched these expected outcomes with </w:t>
      </w:r>
      <w:r>
        <w:t>SRP</w:t>
      </w:r>
      <w:r w:rsidR="00D6072C">
        <w:t xml:space="preserve"> and TP</w:t>
      </w:r>
      <w:r>
        <w:t xml:space="preserve"> concentrations in the Maumee River </w:t>
      </w:r>
      <w:r w:rsidR="00D6072C">
        <w:t>being reduced</w:t>
      </w:r>
      <w:r>
        <w:t xml:space="preserve"> by 20</w:t>
      </w:r>
      <w:r w:rsidR="00D6072C">
        <w:t xml:space="preserve"> and 17%,</w:t>
      </w:r>
      <w:r>
        <w:t xml:space="preserve"> respectively</w:t>
      </w:r>
      <w:r w:rsidR="00D6072C">
        <w:t>, during the frozen season and</w:t>
      </w:r>
      <w:r>
        <w:t xml:space="preserve"> 10</w:t>
      </w:r>
      <w:r w:rsidR="002F1AB6">
        <w:t xml:space="preserve"> and 10%, respectively, during the thaw season</w:t>
      </w:r>
      <w:r>
        <w:t xml:space="preserve"> (Table 3).</w:t>
      </w:r>
      <w:r w:rsidR="002F1AB6">
        <w:t xml:space="preserve"> </w:t>
      </w:r>
      <w:r w:rsidR="00D76E01">
        <w:t xml:space="preserve">Relative to the Maumee River, the River Raisin either experienced increases or smaller reductions in flow-weighted mean SRP and TP concentrations during the frozen and </w:t>
      </w:r>
      <w:r w:rsidR="00D76E01">
        <w:lastRenderedPageBreak/>
        <w:t xml:space="preserve">thaw seasons (Table 3). </w:t>
      </w:r>
      <w:r w:rsidR="00D24092">
        <w:t>Additionally, the Tiffin River</w:t>
      </w:r>
      <w:r w:rsidR="00FC53F4">
        <w:t xml:space="preserve"> – a large sub-watershed of the Maumee River –</w:t>
      </w:r>
      <w:r w:rsidR="002F1AB6">
        <w:t xml:space="preserve"> also experienced similar reductions in the SRP, TP during the frozen and thaw seasons after the nutrient management regulations were implemented (Table 3).</w:t>
      </w:r>
      <w:r w:rsidR="008C7009">
        <w:t xml:space="preserve"> For context, similar nutrient management regulations were implemented in 2011 in the much smaller Grand Lake St. Mary’s watershed and that watershed experienced reductions in flow-weighted mean SRP concentrations ranging from 18% during high flows to 48% during low flows during the winter ban period </w:t>
      </w:r>
      <w:r w:rsidR="008C7009">
        <w:fldChar w:fldCharType="begin"/>
      </w:r>
      <w:r w:rsidR="008C7009">
        <w:instrText xml:space="preserve"> ADDIN EN.CITE &lt;EndNote&gt;&lt;Cite&gt;&lt;Author&gt;Jacquemin&lt;/Author&gt;&lt;Year&gt;2018&lt;/Year&gt;&lt;RecNum&gt;16967&lt;/RecNum&gt;&lt;DisplayText&gt;(Jacquemin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rsidR="008C7009">
        <w:fldChar w:fldCharType="separate"/>
      </w:r>
      <w:r w:rsidR="008C7009">
        <w:rPr>
          <w:noProof/>
        </w:rPr>
        <w:t>(Jacquemin et al., 2018)</w:t>
      </w:r>
      <w:r w:rsidR="008C7009">
        <w:fldChar w:fldCharType="end"/>
      </w:r>
      <w:r w:rsidR="008C7009">
        <w:t>.</w:t>
      </w:r>
    </w:p>
    <w:p w14:paraId="5D14B004" w14:textId="4CDD1DB8" w:rsidR="00AC7683" w:rsidRDefault="002F1AB6" w:rsidP="00AC7683">
      <w:pPr>
        <w:ind w:firstLine="720"/>
      </w:pPr>
      <w:r>
        <w:t xml:space="preserve">Furthermore, </w:t>
      </w:r>
      <w:r w:rsidR="00B8706C">
        <w:t xml:space="preserve">we found </w:t>
      </w:r>
      <w:r w:rsidR="00D24092">
        <w:t xml:space="preserve">increasing reductions in spring SRP fluxes after 2015 </w:t>
      </w:r>
      <w:r w:rsidR="00B8706C">
        <w:t xml:space="preserve">in both the Tiffin River (7% increase during the pre-period and a 15% reduction during the post-period) and the Maumee River (a 3% decrease during the pre-period increasing to a 7% reduction during the post-period) </w:t>
      </w:r>
      <w:r w:rsidR="00D24092">
        <w:t>(</w:t>
      </w:r>
      <w:r w:rsidR="00B8706C">
        <w:t>Table 7</w:t>
      </w:r>
      <w:r w:rsidR="00D24092">
        <w:t>)</w:t>
      </w:r>
      <w:r w:rsidR="00B8706C">
        <w:t xml:space="preserve">. </w:t>
      </w:r>
      <w:r w:rsidR="00D24092">
        <w:t>Taken together, these results suggest</w:t>
      </w:r>
      <w:r w:rsidR="00BF5492">
        <w:t xml:space="preserve"> a basin wide pattern in reducing </w:t>
      </w:r>
      <w:r w:rsidR="00D24092">
        <w:t xml:space="preserve">winter and spring </w:t>
      </w:r>
      <w:r w:rsidR="00BF5492">
        <w:t>nonpoint nutrient pollution in response</w:t>
      </w:r>
      <w:r w:rsidR="00D24092">
        <w:t xml:space="preserve"> to the nutrient management regulation.</w:t>
      </w:r>
      <w:r w:rsidR="008C7009">
        <w:t xml:space="preserve"> </w:t>
      </w:r>
      <w:r w:rsidR="00B8706C">
        <w:t>In accordance with reductions in frozen and thaw season concentrations, there was also the potential to find</w:t>
      </w:r>
      <w:r w:rsidR="00D6072C">
        <w:t xml:space="preserve"> small annual reductions in SRP load because frozen soil and thaw seasons are linked to periods of high flow (Table 2). </w:t>
      </w:r>
      <w:r w:rsidR="008C7009">
        <w:t>The</w:t>
      </w:r>
      <w:r w:rsidR="00B8706C">
        <w:t xml:space="preserve"> results matched this expectation with annual FN SRP loads in the Maumee River switching from a</w:t>
      </w:r>
      <w:r w:rsidR="006D30C9">
        <w:t xml:space="preserve"> </w:t>
      </w:r>
      <w:r w:rsidR="00B8706C">
        <w:t xml:space="preserve">slight annual increase from 2008-2015 to a slight annual decrease from 2015 to 2022 (Figure 2). </w:t>
      </w:r>
      <w:r w:rsidR="008C7009">
        <w:t xml:space="preserve">This </w:t>
      </w:r>
      <w:r w:rsidR="00BB6E51">
        <w:t>switch to a</w:t>
      </w:r>
      <w:r w:rsidR="008C7009">
        <w:t xml:space="preserve"> decline in annual FN SRP loads is significant, especially when considered against the 20.0 kg </w:t>
      </w:r>
      <w:r w:rsidR="008C7009" w:rsidRPr="008C7009">
        <w:t>km</w:t>
      </w:r>
      <w:r w:rsidR="008C7009" w:rsidRPr="008C7009">
        <w:rPr>
          <w:vertAlign w:val="superscript"/>
        </w:rPr>
        <w:t>-2</w:t>
      </w:r>
      <w:r w:rsidR="008C7009">
        <w:t xml:space="preserve"> increase (109%) in FN SRP fluxes from 1995 to 2015 in the Maumee River </w:t>
      </w:r>
      <w:r w:rsidR="008C7009">
        <w:fldChar w:fldCharType="begin"/>
      </w:r>
      <w:r w:rsidR="008C7009">
        <w:instrText xml:space="preserve"> ADDIN EN.CITE &lt;EndNote&gt;&lt;Cite&gt;&lt;Author&gt;Choquette&lt;/Author&gt;&lt;Year&gt;2019&lt;/Year&gt;&lt;RecNum&gt;16954&lt;/RecNum&gt;&lt;DisplayText&gt;(Choquette et al., 2019)&lt;/DisplayText&gt;&lt;record&gt;&lt;rec-number&gt;16954&lt;/rec-number&gt;&lt;foreign-keys&gt;&lt;key app="EN" db-id="vxf5p2xpuads9deaf5xvd2ri20s0at2spve5" timestamp="1685543002"&gt;16954&lt;/key&gt;&lt;/foreign-keys&gt;&lt;ref-type name="Journal Article"&gt;17&lt;/ref-type&gt;&lt;contributors&gt;&lt;authors&gt;&lt;author&gt;Choquette, A. F.&lt;/author&gt;&lt;author&gt;Hirsch, R. M.&lt;/author&gt;&lt;author&gt;Murphy, J. C.&lt;/author&gt;&lt;author&gt;Johnson, L. T.&lt;/author&gt;&lt;author&gt;Confesor, R. B.&lt;/author&gt;&lt;/authors&gt;&lt;/contributors&gt;&lt;titles&gt;&lt;title&gt;Tracking changes in nutrient delivery to western Lake Erie: Approaches to compensate for variability and trends in streamflow&lt;/title&gt;&lt;secondary-title&gt;Journal of Great Lakes Research&lt;/secondary-title&gt;&lt;/titles&gt;&lt;periodical&gt;&lt;full-title&gt;Journal of Great Lakes Research&lt;/full-title&gt;&lt;/periodical&gt;&lt;pages&gt;21-39&lt;/pages&gt;&lt;volume&gt;45&lt;/volume&gt;&lt;number&gt;1&lt;/number&gt;&lt;keywords&gt;&lt;keyword&gt;Nutrient&lt;/keyword&gt;&lt;keyword&gt;Trend&lt;/keyword&gt;&lt;keyword&gt;Lake Erie&lt;/keyword&gt;&lt;keyword&gt;Phosphorus&lt;/keyword&gt;&lt;keyword&gt;Nitrogen&lt;/keyword&gt;&lt;keyword&gt;Streamflow&lt;/keyword&gt;&lt;/keywords&gt;&lt;dates&gt;&lt;year&gt;2019&lt;/year&gt;&lt;pub-dates&gt;&lt;date&gt;2019/02/01/&lt;/date&gt;&lt;/pub-dates&gt;&lt;/dates&gt;&lt;isbn&gt;0380-1330&lt;/isbn&gt;&lt;urls&gt;&lt;related-urls&gt;&lt;url&gt;https://www.sciencedirect.com/science/article/pii/S0380133018302235&lt;/url&gt;&lt;/related-urls&gt;&lt;/urls&gt;&lt;electronic-resource-num&gt;https://doi.org/10.1016/j.jglr.2018.11.012&lt;/electronic-resource-num&gt;&lt;/record&gt;&lt;/Cite&gt;&lt;/EndNote&gt;</w:instrText>
      </w:r>
      <w:r w:rsidR="008C7009">
        <w:fldChar w:fldCharType="separate"/>
      </w:r>
      <w:r w:rsidR="008C7009">
        <w:rPr>
          <w:noProof/>
        </w:rPr>
        <w:t>(Choquette et al., 2019)</w:t>
      </w:r>
      <w:r w:rsidR="008C7009">
        <w:fldChar w:fldCharType="end"/>
      </w:r>
      <w:r w:rsidR="008C7009">
        <w:t>.</w:t>
      </w:r>
    </w:p>
    <w:p w14:paraId="59CA0112" w14:textId="50F627DE" w:rsidR="008F33AE" w:rsidRDefault="008F33AE" w:rsidP="008F33AE">
      <w:pPr>
        <w:pStyle w:val="Heading3"/>
      </w:pPr>
      <w:r>
        <w:t>Potential changes in Application Timing</w:t>
      </w:r>
    </w:p>
    <w:p w14:paraId="1CB0E601" w14:textId="2B8C6607" w:rsidR="00AC7683" w:rsidRDefault="00BB6E51" w:rsidP="003E5B81">
      <w:pPr>
        <w:ind w:firstLine="720"/>
      </w:pPr>
      <w:r>
        <w:t>While SRP</w:t>
      </w:r>
      <w:r w:rsidR="00D76E01">
        <w:t xml:space="preserve"> and TP concentrations decreased within the Maumee River during the frozen, thaw, and spring seasons,</w:t>
      </w:r>
      <w:r w:rsidR="00AC7683">
        <w:t xml:space="preserve"> flow-weighted mean SRP and TP concentrations increased (12 and 13%, respectively) during </w:t>
      </w:r>
      <w:r w:rsidR="00D76E01">
        <w:t xml:space="preserve">the fall </w:t>
      </w:r>
      <w:r w:rsidR="00AC7683">
        <w:t xml:space="preserve">application </w:t>
      </w:r>
      <w:r w:rsidR="00D76E01">
        <w:t>season (</w:t>
      </w:r>
      <w:r w:rsidR="00AC7683">
        <w:t xml:space="preserve">from </w:t>
      </w:r>
      <w:r w:rsidR="00D76E01">
        <w:t xml:space="preserve">1 Jul </w:t>
      </w:r>
      <w:r w:rsidR="00AC7683">
        <w:t>until the soil freezes)</w:t>
      </w:r>
      <w:r w:rsidR="003E5B81">
        <w:t xml:space="preserve"> (Table 3)</w:t>
      </w:r>
      <w:r w:rsidR="00AC7683">
        <w:t xml:space="preserve">. </w:t>
      </w:r>
      <w:r w:rsidR="00AC7683">
        <w:lastRenderedPageBreak/>
        <w:t>A similar increase was observed</w:t>
      </w:r>
      <w:r w:rsidR="003E5B81">
        <w:t xml:space="preserve"> in both the Tiffin and Blanchard Rivers. Additionally,</w:t>
      </w:r>
      <w:r w:rsidR="00AC7683">
        <w:t xml:space="preserve"> flow-weighted mean SRP concentrations </w:t>
      </w:r>
      <w:r w:rsidR="003E5B81">
        <w:t xml:space="preserve">increase by 44% during medium flows and stayed constant with a 0% change during high flows during the manure application period in the Grand Lake St. Mary’s watershed. </w:t>
      </w:r>
      <w:r w:rsidR="00AC7683">
        <w:t xml:space="preserve">These increases suggest </w:t>
      </w:r>
      <w:r w:rsidR="003E5B81">
        <w:t xml:space="preserve">that the </w:t>
      </w:r>
      <w:r w:rsidR="00AC7683">
        <w:t>ban</w:t>
      </w:r>
      <w:r w:rsidR="003E5B81">
        <w:t>ning of</w:t>
      </w:r>
      <w:r w:rsidR="00AC7683">
        <w:t xml:space="preserve"> manure application on frozen soils </w:t>
      </w:r>
      <w:r w:rsidR="003E5B81">
        <w:t>likely doesn’t reduce the amount of manure applied to the land. Instead, the bans may simply shift application timing. We hypothesize that the fall increases were a product of more manure is now being applied during the fall season before the soil freezes to ensure that the lagoons and waste holding facilities can hold all the manure produced during the winter. While the impact of increased fall application can be m</w:t>
      </w:r>
      <w:r w:rsidR="00AC7683">
        <w:t xml:space="preserve">itigated by </w:t>
      </w:r>
      <w:r w:rsidR="003E5B81">
        <w:t xml:space="preserve">the lower </w:t>
      </w:r>
      <w:r w:rsidR="00AC7683">
        <w:t>flow conditions</w:t>
      </w:r>
      <w:r w:rsidR="003E5B81">
        <w:t xml:space="preserve"> during the fall</w:t>
      </w:r>
      <w:r w:rsidR="00AC7683">
        <w:t xml:space="preserve">, this work around has the potential to limit the </w:t>
      </w:r>
      <w:r w:rsidR="003E5B81">
        <w:t>effectiveness of a winter manure application ban on annual P loads.</w:t>
      </w:r>
    </w:p>
    <w:p w14:paraId="4432EE3D" w14:textId="77E06769" w:rsidR="008F33AE" w:rsidRDefault="008F33AE" w:rsidP="008F33AE">
      <w:pPr>
        <w:pStyle w:val="Heading3"/>
      </w:pPr>
      <w:r>
        <w:t>Did solids release increase in response to incorporation incentive?</w:t>
      </w:r>
    </w:p>
    <w:p w14:paraId="6CAE3296" w14:textId="60CDAA0F" w:rsidR="00C020A5" w:rsidRPr="00C020A5" w:rsidRDefault="004305F5" w:rsidP="008F33AE">
      <w:pPr>
        <w:ind w:firstLine="720"/>
      </w:pPr>
      <w:r>
        <w:t xml:space="preserve">Another concern of the regulations was the potential for an increase in TSS and particulate P export from fields due to the exception for nutrient application if the nutrients were quickly incorporated to the frozen soils. Increased incorporation could increase the potential for soil erosion from tilled fields during subsequent precipitation events. However, our results showed that, along with the declines in SRP and TP concentrations during the frozen and thaw seasons, flow-weighted mean TSS concentrations also decreased during these seasons within the Maumee River Basin. The Tiffin, Blanchard, and Maumee Rivers had declines of 12, 33, and 26%, respectively during the frozen season and 10, 27, and 27%, respectively, during the thaw season (Table 3). </w:t>
      </w:r>
    </w:p>
    <w:p w14:paraId="7E57FBC4" w14:textId="4F7134A1" w:rsidR="00D77306" w:rsidRDefault="004305F5" w:rsidP="00417F32">
      <w:pPr>
        <w:pStyle w:val="Heading2"/>
      </w:pPr>
      <w:r>
        <w:lastRenderedPageBreak/>
        <w:t xml:space="preserve">Changes in Nutrient and Sediment </w:t>
      </w:r>
      <w:r w:rsidR="008F33AE">
        <w:t>D</w:t>
      </w:r>
      <w:r>
        <w:t xml:space="preserve">elivery at the </w:t>
      </w:r>
      <w:r w:rsidR="008F33AE">
        <w:t>A</w:t>
      </w:r>
      <w:r>
        <w:t xml:space="preserve">nnual </w:t>
      </w:r>
      <w:r w:rsidR="008F33AE">
        <w:t>Time Scale.</w:t>
      </w:r>
    </w:p>
    <w:p w14:paraId="44FCD81C" w14:textId="6B47046F" w:rsidR="001F0C29" w:rsidRPr="001F0C29" w:rsidRDefault="001F0C29" w:rsidP="001F0C29">
      <w:pPr>
        <w:pStyle w:val="Heading3"/>
      </w:pPr>
      <w:r>
        <w:t>Annual trends in the Maumee River</w:t>
      </w:r>
    </w:p>
    <w:p w14:paraId="39730242" w14:textId="25FA9D62" w:rsidR="008F33AE" w:rsidRDefault="000B7C4D" w:rsidP="000B7C4D">
      <w:pPr>
        <w:ind w:firstLine="576"/>
      </w:pPr>
      <w:r>
        <w:t xml:space="preserve">While seasonal trends allowed for an investigation into the likely effectiveness of the nutrient management regulation, annual trends give us a chance to investigate the progress of nutrient reduction strategies, including the nutrient management regulations, to meet the annual target reductions provided in the GLWQA. </w:t>
      </w:r>
      <w:r w:rsidR="00DA4C72">
        <w:t xml:space="preserve">From </w:t>
      </w:r>
      <w:r>
        <w:t>2008</w:t>
      </w:r>
      <w:r w:rsidR="00DA4C72">
        <w:t xml:space="preserve"> to 2022</w:t>
      </w:r>
      <w:r>
        <w:t xml:space="preserve">, the Maumee River showed a 6% decline in </w:t>
      </w:r>
      <w:r w:rsidR="00DA4C72">
        <w:t xml:space="preserve">the annual </w:t>
      </w:r>
      <w:r>
        <w:t xml:space="preserve">FN SRP flux but an 11% increase in </w:t>
      </w:r>
      <w:r w:rsidR="00DA4C72">
        <w:t xml:space="preserve">the annual </w:t>
      </w:r>
      <w:r>
        <w:t xml:space="preserve">FN TP flux. </w:t>
      </w:r>
      <w:r w:rsidR="00BE643D">
        <w:t>The 6%</w:t>
      </w:r>
      <w:r w:rsidR="0059172A">
        <w:t xml:space="preserve"> (2 kg km</w:t>
      </w:r>
      <w:r w:rsidR="0059172A">
        <w:rPr>
          <w:vertAlign w:val="superscript"/>
        </w:rPr>
        <w:t>-2</w:t>
      </w:r>
      <w:r w:rsidR="0059172A">
        <w:t>)</w:t>
      </w:r>
      <w:r w:rsidR="00BE643D">
        <w:t xml:space="preserve"> decline in annual FN SRP flux indicated that progress is being made towards the goal of a 40% reduction in annual SRP loads, but that this progress </w:t>
      </w:r>
      <w:r w:rsidR="0059172A">
        <w:t>was well below expectations</w:t>
      </w:r>
      <w:r w:rsidR="00BE643D">
        <w:t>. Although annual FN TP loads increased, the 15 kg km</w:t>
      </w:r>
      <w:r w:rsidR="00BE643D">
        <w:rPr>
          <w:vertAlign w:val="superscript"/>
        </w:rPr>
        <w:t>-2</w:t>
      </w:r>
      <w:r w:rsidR="00BE643D">
        <w:t xml:space="preserve"> increase estimated for the Maumee River was well below the 20 kg km</w:t>
      </w:r>
      <w:r w:rsidR="00BE643D">
        <w:rPr>
          <w:vertAlign w:val="superscript"/>
        </w:rPr>
        <w:t>-2</w:t>
      </w:r>
      <w:r w:rsidR="00BE643D">
        <w:t xml:space="preserve"> increase estimated for the reference River Raisin, which indicated that the nutrient reduction strategies implemented in the Maumee River watershed may at least be mitigating the increase in TP observed in other parts of the WLEB.  </w:t>
      </w:r>
    </w:p>
    <w:p w14:paraId="1A748A93" w14:textId="1D929E90" w:rsidR="001F0C29" w:rsidRDefault="001F0C29" w:rsidP="001F0C29">
      <w:pPr>
        <w:pStyle w:val="Heading3"/>
      </w:pPr>
      <w:r>
        <w:t>Blanchard vs. Tiffin</w:t>
      </w:r>
    </w:p>
    <w:p w14:paraId="0ABA304E" w14:textId="3BBFDBC5" w:rsidR="000B7C4D" w:rsidRDefault="000B7C4D" w:rsidP="001F0C29">
      <w:pPr>
        <w:ind w:firstLine="576"/>
      </w:pPr>
      <w:r>
        <w:t xml:space="preserve">Within the Maumee River watershed, the Tiffin and Blanchard Rivers showed divergent trends in annual SRP and TP fluxes. </w:t>
      </w:r>
      <w:r w:rsidR="00DA4C72">
        <w:t>The Tiffin River exhibited similar trends to the Maumee River</w:t>
      </w:r>
      <w:r w:rsidR="00BE643D">
        <w:t xml:space="preserve"> with a 7% decrease in SRP</w:t>
      </w:r>
      <w:r w:rsidR="00DA4C72">
        <w:t xml:space="preserve">, while the </w:t>
      </w:r>
      <w:r w:rsidR="00BE643D">
        <w:t xml:space="preserve">Blanchard </w:t>
      </w:r>
      <w:r w:rsidR="0059172A">
        <w:t>River had a 33% increase in SRP. From Table 1, both the Tiffin and the Blanchard watersheds have a similar size and percentage of agricultural areas. One potential cause of this difference was the difference in l</w:t>
      </w:r>
      <w:r w:rsidR="00BE643D">
        <w:t>ivestock population</w:t>
      </w:r>
      <w:r w:rsidR="0059172A">
        <w:t xml:space="preserve"> dynamics within the two watersheds. </w:t>
      </w:r>
      <w:r w:rsidR="00D26CF2">
        <w:t>From 2012 to 2017, the number of cattle and hogs decreased by 9917 and 211 animals, respectively, in the Tiffin River watershed (NASS data – cite). Meanwhile, over the same span, the number of cattle and hogs increased by 16,749 and 47,954 animals, respectively, in the Blanchard River watershed (NASS data – cite)</w:t>
      </w:r>
      <w:r w:rsidR="001F0C29">
        <w:t>. Thus, th</w:t>
      </w:r>
      <w:r w:rsidR="0059172A">
        <w:t xml:space="preserve">ere </w:t>
      </w:r>
      <w:r w:rsidR="0059172A">
        <w:lastRenderedPageBreak/>
        <w:t>could have been similar implementation, but simply more manure and therefore more nutrient export in the Blanchard River. Alternatively, these results could be indicative of</w:t>
      </w:r>
      <w:r>
        <w:t xml:space="preserve"> </w:t>
      </w:r>
      <w:r w:rsidR="00DA4C72">
        <w:t>heterogenous</w:t>
      </w:r>
      <w:r>
        <w:t xml:space="preserve"> implementation throughout the watershed</w:t>
      </w:r>
      <w:r w:rsidR="00DA4C72">
        <w:t xml:space="preserve"> that may temper the amount of influence that nutrient reduction strategies at the field scale can have at the large watershed scale. </w:t>
      </w:r>
      <w:r w:rsidR="0059172A">
        <w:t xml:space="preserve">Further investigation is needed to elucidate causes of the different results in the two otherwise similar watersheds. </w:t>
      </w:r>
    </w:p>
    <w:p w14:paraId="065818F8" w14:textId="52B81821" w:rsidR="008F33AE" w:rsidRPr="004A7BAB" w:rsidRDefault="004A7BAB" w:rsidP="001F0C29">
      <w:pPr>
        <w:pStyle w:val="Heading3"/>
      </w:pPr>
      <w:r>
        <w:t>Influence of flow condition</w:t>
      </w:r>
    </w:p>
    <w:p w14:paraId="34613E30" w14:textId="77777777" w:rsidR="007C3C14" w:rsidRDefault="004A7BAB" w:rsidP="00CA5368">
      <w:pPr>
        <w:ind w:firstLine="720"/>
      </w:pPr>
      <w:r>
        <w:t>While f</w:t>
      </w:r>
      <w:r w:rsidR="00D77306">
        <w:t>low-normalization reduces the noise associated with trends, concentrations trends still tend to be biased toward low flow observations due to the greater number of low flow observations</w:t>
      </w:r>
      <w:r>
        <w:t xml:space="preserve"> and </w:t>
      </w:r>
      <w:r w:rsidR="00D77306">
        <w:t xml:space="preserve">flux trends are biased toward high flow observations </w:t>
      </w:r>
      <w:r w:rsidR="00D77306">
        <w:fldChar w:fldCharType="begin"/>
      </w:r>
      <w:r w:rsidR="00D77306">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D77306">
        <w:fldChar w:fldCharType="separate"/>
      </w:r>
      <w:r w:rsidR="00D77306">
        <w:rPr>
          <w:noProof/>
        </w:rPr>
        <w:t>(Sprague et al., 2011)</w:t>
      </w:r>
      <w:r w:rsidR="00D77306">
        <w:fldChar w:fldCharType="end"/>
      </w:r>
      <w:r w:rsidR="00D77306">
        <w:t xml:space="preserve">. Thus, the </w:t>
      </w:r>
      <w:r>
        <w:t>slight increase in FN SRP</w:t>
      </w:r>
      <w:r w:rsidR="00D77306">
        <w:t xml:space="preserve"> concentrations </w:t>
      </w:r>
      <w:r>
        <w:t xml:space="preserve">paired with the decrease in FN SRP fluxes </w:t>
      </w:r>
      <w:r w:rsidR="00D77306">
        <w:t xml:space="preserve">at </w:t>
      </w:r>
      <w:r>
        <w:t>Maumee</w:t>
      </w:r>
      <w:r w:rsidR="00D77306">
        <w:t xml:space="preserve"> suggests that </w:t>
      </w:r>
      <w:r>
        <w:t>the reductions in SRP delivery are occuring predominately during</w:t>
      </w:r>
      <w:r w:rsidR="00D77306">
        <w:t xml:space="preserve"> high flow con</w:t>
      </w:r>
      <w:r>
        <w:t>ditions (Table 4)</w:t>
      </w:r>
      <w:r w:rsidR="00D77306">
        <w:t xml:space="preserve">. </w:t>
      </w:r>
      <w:r w:rsidR="007C3C14">
        <w:t xml:space="preserve">Other sites like Blanchard and Raisin followed a similar pattern, except that increases in FN SRP concentrations were greater than those of FN SRP fluxes. </w:t>
      </w:r>
      <w:r>
        <w:t xml:space="preserve">Unlike SRP, TP </w:t>
      </w:r>
      <w:r w:rsidR="00CA5368">
        <w:t xml:space="preserve">showed the opposite trend with greater increases in FN flux relative to FN concentration, which suggests that the greater proportion of increased delivery is occuring during high flows. </w:t>
      </w:r>
      <w:r w:rsidR="007C3C14">
        <w:t xml:space="preserve">Tiffin and Raisin had a similar pattern. </w:t>
      </w:r>
    </w:p>
    <w:p w14:paraId="19CE9501" w14:textId="43281AF0" w:rsidR="00364DB0" w:rsidRDefault="007C3C14" w:rsidP="00364DB0">
      <w:pPr>
        <w:ind w:firstLine="720"/>
      </w:pPr>
      <w:r>
        <w:t>Taken together, these results suggest</w:t>
      </w:r>
      <w:r w:rsidR="00D77306">
        <w:t xml:space="preserve"> that SRP is</w:t>
      </w:r>
      <w:r>
        <w:t xml:space="preserve"> disproportionately being either released more or being reduced less during low flows, while </w:t>
      </w:r>
      <w:r w:rsidR="00D77306">
        <w:t xml:space="preserve">TP is </w:t>
      </w:r>
      <w:r>
        <w:t xml:space="preserve">disproportionately being either released more or being reduced less </w:t>
      </w:r>
      <w:r w:rsidR="00D77306">
        <w:t xml:space="preserve">more at high flows. </w:t>
      </w:r>
      <w:r w:rsidR="00364DB0">
        <w:t xml:space="preserve">Notably, differences between concentration and flux changes for TSS match those of TP. The greater delivery of soluble P during low flows may be a product of the changing nutrient application timing with more manure being spread in the fall, when flows are generally lower. </w:t>
      </w:r>
      <w:r w:rsidR="0007409A">
        <w:t xml:space="preserve">Meanwhile, the greater amount of particulate loss during high flow events may be the product of more extreme events or changes in </w:t>
      </w:r>
      <w:r w:rsidR="0007409A">
        <w:lastRenderedPageBreak/>
        <w:t xml:space="preserve">farming practices in recent years. Both TP and TSS </w:t>
      </w:r>
      <w:r w:rsidR="00AC67C0">
        <w:t>showed</w:t>
      </w:r>
      <w:r w:rsidR="0007409A">
        <w:t xml:space="preserve"> decline in the Maumee River before 2015</w:t>
      </w:r>
      <w:r w:rsidR="00AC67C0">
        <w:t xml:space="preserve"> (Figure 2)</w:t>
      </w:r>
      <w:r w:rsidR="00464FFB">
        <w:t xml:space="preserve"> and this highlights the need to determine why particulate losses have increased in recent years.</w:t>
      </w:r>
    </w:p>
    <w:p w14:paraId="5DB63C82" w14:textId="145F18FD" w:rsidR="008F33AE" w:rsidRPr="00435682" w:rsidRDefault="00684545" w:rsidP="008F33AE">
      <w:pPr>
        <w:pStyle w:val="Heading2"/>
      </w:pPr>
      <w:r>
        <w:t>Implication of results on ability to meet reduction targets</w:t>
      </w:r>
    </w:p>
    <w:p w14:paraId="4F2C0D42" w14:textId="62EDF3A9" w:rsidR="00127B9B" w:rsidRDefault="00D849FC" w:rsidP="00D554C6">
      <w:pPr>
        <w:ind w:firstLine="720"/>
      </w:pPr>
      <w:r>
        <w:t xml:space="preserve">Relative to P reduction targets in the WLEB, the </w:t>
      </w:r>
      <w:r w:rsidR="00B1241F">
        <w:t xml:space="preserve">reductions in </w:t>
      </w:r>
      <w:r w:rsidR="00684545">
        <w:t xml:space="preserve">both </w:t>
      </w:r>
      <w:r w:rsidR="00B1241F">
        <w:t xml:space="preserve">SRP </w:t>
      </w:r>
      <w:r w:rsidR="00684545">
        <w:t xml:space="preserve">and TP </w:t>
      </w:r>
      <w:r w:rsidR="00B1241F">
        <w:t xml:space="preserve">concentrations during the frozen, thaw, and spring application seasons paired with the </w:t>
      </w:r>
      <w:r>
        <w:t xml:space="preserve">downward trends in </w:t>
      </w:r>
      <w:r w:rsidR="00684545">
        <w:t xml:space="preserve">both annual and springtime </w:t>
      </w:r>
      <w:r>
        <w:t xml:space="preserve">SRP fluxes in the Maumee River and the Tiffin River (a smaller tributary of the Maumee) indicate that </w:t>
      </w:r>
      <w:r w:rsidR="00B1241F">
        <w:t xml:space="preserve">the nutrient management regulations have helped to </w:t>
      </w:r>
      <w:r>
        <w:t>mitigat</w:t>
      </w:r>
      <w:r w:rsidR="00B1241F">
        <w:t>e</w:t>
      </w:r>
      <w:r>
        <w:t xml:space="preserve"> SRP delivery</w:t>
      </w:r>
      <w:r w:rsidR="00B1241F">
        <w:t xml:space="preserve"> to the WLEB</w:t>
      </w:r>
      <w:r>
        <w:t xml:space="preserve">. </w:t>
      </w:r>
      <w:r w:rsidR="00B1119E">
        <w:t>However, increases in SRP</w:t>
      </w:r>
      <w:r w:rsidR="00684545">
        <w:t xml:space="preserve"> and TP</w:t>
      </w:r>
      <w:r w:rsidR="00B1119E">
        <w:t xml:space="preserve"> </w:t>
      </w:r>
      <w:r w:rsidR="00D554C6">
        <w:t xml:space="preserve">concentrations </w:t>
      </w:r>
      <w:r w:rsidR="00B1119E">
        <w:t xml:space="preserve">during the fall low flow periods suggest that </w:t>
      </w:r>
      <w:r w:rsidR="00684545">
        <w:t xml:space="preserve">the nutrient management regulations likely do not reduce the annual amount of nutrients being added to the fields, but simply alters the timing of application. While this can help to reduce seasonal loads, especially the spring SRP loads that heavily influence algal bloom size, it is unlikely to provide substantial P reductions by itself. </w:t>
      </w:r>
      <w:r w:rsidR="00D554C6">
        <w:t xml:space="preserve">Furthermore, the consistently positive changes in annual FN TP concentrations and fluxes across the basin suggest that we should temper our hopes that the downward trends in SRP in select watersheds are harbingers of broad reductions in P delivery to Lake Erie. </w:t>
      </w:r>
      <w:r w:rsidR="00684545">
        <w:t xml:space="preserve">Additionally, </w:t>
      </w:r>
      <w:r w:rsidR="00D554C6">
        <w:t xml:space="preserve">the Tiffin and Blanchard watersheds are both of similar size and located within the overall Maumee River watersheds. Future research is needed to determine exactly why the Tiffin site is experiencing progress towards reduced P delivery, while the Blanchard site is not only lacking progress, but actively exporting more P since 2008, but the increase in livestock during this period in the Blanchard River </w:t>
      </w:r>
      <w:r w:rsidR="00684545">
        <w:t>suggest</w:t>
      </w:r>
      <w:r w:rsidR="00D554C6">
        <w:t>s</w:t>
      </w:r>
      <w:r w:rsidR="00684545">
        <w:t xml:space="preserve"> that even with nutrient management regulations in place, if you add more manure to the fields, you are likely to increase the amount of P exported from the watershed.</w:t>
      </w:r>
    </w:p>
    <w:p w14:paraId="0512BCAC" w14:textId="5B2D4195" w:rsidR="00134E80" w:rsidRPr="00134E80" w:rsidRDefault="00BB60DF" w:rsidP="00134E80">
      <w:pPr>
        <w:pStyle w:val="Heading1"/>
      </w:pPr>
      <w:r>
        <w:lastRenderedPageBreak/>
        <w:t>Conclusion</w:t>
      </w:r>
    </w:p>
    <w:p w14:paraId="4141AFF2" w14:textId="77777777" w:rsidR="00134E80" w:rsidRDefault="00134E80">
      <w:pPr>
        <w:rPr>
          <w:rFonts w:eastAsiaTheme="majorEastAsia" w:cstheme="majorBidi"/>
          <w:b/>
          <w:sz w:val="32"/>
          <w:szCs w:val="32"/>
        </w:rPr>
      </w:pPr>
      <w:r>
        <w:br w:type="page"/>
      </w:r>
    </w:p>
    <w:p w14:paraId="724C600D" w14:textId="77777777" w:rsidR="00134E80" w:rsidRDefault="00134E80" w:rsidP="00134E80">
      <w:pPr>
        <w:pStyle w:val="Heading1"/>
        <w:numPr>
          <w:ilvl w:val="0"/>
          <w:numId w:val="0"/>
        </w:numPr>
        <w:ind w:left="432" w:hanging="432"/>
      </w:pPr>
      <w:r>
        <w:lastRenderedPageBreak/>
        <w:t>References</w:t>
      </w:r>
    </w:p>
    <w:p w14:paraId="566CC64F" w14:textId="77777777" w:rsidR="008C7009" w:rsidRPr="008C7009" w:rsidRDefault="00001EA6" w:rsidP="008C7009">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8C7009" w:rsidRPr="008C7009">
        <w:t xml:space="preserve">Annex 4. (2015). </w:t>
      </w:r>
      <w:r w:rsidR="008C7009" w:rsidRPr="008C7009">
        <w:rPr>
          <w:i/>
        </w:rPr>
        <w:t>Recommended phosphorus loading targets for Lake Erie. Annex 4 Objectives and Targets Task Team Final Report to the Nutrients Annex Subcommittee</w:t>
      </w:r>
      <w:r w:rsidR="008C7009" w:rsidRPr="008C7009">
        <w:t xml:space="preserve">. </w:t>
      </w:r>
    </w:p>
    <w:p w14:paraId="554D73AE" w14:textId="1B5622BA" w:rsidR="008C7009" w:rsidRPr="008C7009" w:rsidRDefault="008C7009" w:rsidP="008C7009">
      <w:pPr>
        <w:pStyle w:val="EndNoteBibliography"/>
        <w:spacing w:after="0"/>
        <w:ind w:left="720" w:hanging="720"/>
      </w:pPr>
      <w:r w:rsidRPr="008C7009">
        <w:t xml:space="preserve">Baker, D. B., Confesor, R., Ewing, D. E., Johnson, L. T., Kramer, J. W., &amp; Merryfield, B. J. (2014). Phosphorus loading to Lake Erie from the Maumee, Sandusky and Cuyahoga rivers: The importance of bioavailability. </w:t>
      </w:r>
      <w:r w:rsidRPr="008C7009">
        <w:rPr>
          <w:i/>
        </w:rPr>
        <w:t>Journal of Great Lakes Research, 40</w:t>
      </w:r>
      <w:r w:rsidRPr="008C7009">
        <w:t>(3), 502-517. doi:</w:t>
      </w:r>
      <w:hyperlink r:id="rId11" w:history="1">
        <w:r w:rsidRPr="008C7009">
          <w:rPr>
            <w:rStyle w:val="Hyperlink"/>
          </w:rPr>
          <w:t>https://doi.org/10.1016/j.jglr.2014.05.001</w:t>
        </w:r>
      </w:hyperlink>
    </w:p>
    <w:p w14:paraId="4D11B7A7" w14:textId="7C69E865" w:rsidR="008C7009" w:rsidRPr="008C7009" w:rsidRDefault="008C7009" w:rsidP="008C7009">
      <w:pPr>
        <w:pStyle w:val="EndNoteBibliography"/>
        <w:spacing w:after="0"/>
        <w:ind w:left="720" w:hanging="720"/>
      </w:pPr>
      <w:r w:rsidRPr="008C7009">
        <w:t xml:space="preserve">Choquette, A. F., Hirsch, R. M., Murphy, J. C., Johnson, L. T., &amp; Confesor, R. B. (2019). Tracking changes in nutrient delivery to western Lake Erie: Approaches to compensate for variability and trends in streamflow. </w:t>
      </w:r>
      <w:r w:rsidRPr="008C7009">
        <w:rPr>
          <w:i/>
        </w:rPr>
        <w:t>Journal of Great Lakes Research, 45</w:t>
      </w:r>
      <w:r w:rsidRPr="008C7009">
        <w:t>(1), 21-39. doi:</w:t>
      </w:r>
      <w:hyperlink r:id="rId12" w:history="1">
        <w:r w:rsidRPr="008C7009">
          <w:rPr>
            <w:rStyle w:val="Hyperlink"/>
          </w:rPr>
          <w:t>https://doi.org/10.1016/j.jglr.2018.11.012</w:t>
        </w:r>
      </w:hyperlink>
    </w:p>
    <w:p w14:paraId="355790B9" w14:textId="77777777" w:rsidR="008C7009" w:rsidRPr="008C7009" w:rsidRDefault="008C7009" w:rsidP="008C7009">
      <w:pPr>
        <w:pStyle w:val="EndNoteBibliography"/>
        <w:ind w:left="720" w:hanging="720"/>
      </w:pPr>
      <w:r w:rsidRPr="008C7009">
        <w:t>DeCicco, L., Hirsch, R., Lorenz, D., Watkins, D., &amp; Johnson, M. (2023). dataRetrieval: R packages for discovering and retrieving</w:t>
      </w:r>
    </w:p>
    <w:p w14:paraId="1B77DF80" w14:textId="6E9392B3" w:rsidR="008C7009" w:rsidRPr="008C7009" w:rsidRDefault="008C7009" w:rsidP="008C7009">
      <w:pPr>
        <w:pStyle w:val="EndNoteBibliography"/>
        <w:spacing w:after="0"/>
        <w:ind w:left="720" w:hanging="720"/>
      </w:pPr>
      <w:r w:rsidRPr="008C7009">
        <w:t xml:space="preserve">      water data available from U.S. federal hydrologic web services (Version 2.7.13). Reston, VA: U.S. Geological Survey. Retrieved from </w:t>
      </w:r>
      <w:hyperlink r:id="rId13" w:history="1">
        <w:r w:rsidRPr="008C7009">
          <w:rPr>
            <w:rStyle w:val="Hyperlink"/>
          </w:rPr>
          <w:t>https://code.usgs.gov/water/dataRetrieval</w:t>
        </w:r>
      </w:hyperlink>
    </w:p>
    <w:p w14:paraId="24A308D6" w14:textId="5185145A" w:rsidR="008C7009" w:rsidRPr="008C7009" w:rsidRDefault="008C7009" w:rsidP="008C7009">
      <w:pPr>
        <w:pStyle w:val="EndNoteBibliography"/>
        <w:spacing w:after="0"/>
        <w:ind w:left="720" w:hanging="720"/>
      </w:pPr>
      <w:r w:rsidRPr="008C7009">
        <w:t xml:space="preserve">Hirsch, R., DeCicco, L., &amp; Murphy, J. (2023). Exploration and Graphics for RivEr Trends (EGRET): U.S. Geological Survey. Retrieved from </w:t>
      </w:r>
      <w:hyperlink r:id="rId14" w:history="1">
        <w:r w:rsidRPr="008C7009">
          <w:rPr>
            <w:rStyle w:val="Hyperlink"/>
          </w:rPr>
          <w:t>https://pubs.usgs.gov/tm/04/a10/</w:t>
        </w:r>
      </w:hyperlink>
    </w:p>
    <w:p w14:paraId="615C423A" w14:textId="5DDE113A" w:rsidR="008C7009" w:rsidRPr="008C7009" w:rsidRDefault="008C7009" w:rsidP="008C7009">
      <w:pPr>
        <w:pStyle w:val="EndNoteBibliography"/>
        <w:spacing w:after="0"/>
        <w:ind w:left="720" w:hanging="720"/>
      </w:pPr>
      <w:r w:rsidRPr="008C7009">
        <w:t xml:space="preserve">Hirsch, R. M., Moyer, D. L., &amp; Archfield, S. A. (2010). Weighted Regressions on Time, Discharge, and Season (WRTDS), with an Application to Chesapeake Bay River Inputs1. </w:t>
      </w:r>
      <w:r w:rsidRPr="008C7009">
        <w:rPr>
          <w:i/>
        </w:rPr>
        <w:t>JAWRA Journal of the American Water Resources Association, 46</w:t>
      </w:r>
      <w:r w:rsidRPr="008C7009">
        <w:t>(5), 857-880. doi:</w:t>
      </w:r>
      <w:hyperlink r:id="rId15" w:history="1">
        <w:r w:rsidRPr="008C7009">
          <w:rPr>
            <w:rStyle w:val="Hyperlink"/>
          </w:rPr>
          <w:t>https://doi.org/10.1111/j.1752-1688.2010.00482.x</w:t>
        </w:r>
      </w:hyperlink>
    </w:p>
    <w:p w14:paraId="1BC526EC" w14:textId="54900F8B" w:rsidR="008C7009" w:rsidRPr="008C7009" w:rsidRDefault="008C7009" w:rsidP="008C7009">
      <w:pPr>
        <w:pStyle w:val="EndNoteBibliography"/>
        <w:spacing w:after="0"/>
        <w:ind w:left="720" w:hanging="720"/>
      </w:pPr>
      <w:r w:rsidRPr="008C7009">
        <w:t xml:space="preserve">Jacquemin, S. J., Johnson, L. T., Dirksen, T. A., &amp; McGlinch, G. (2018). Changes in Water Quality of Grand Lake St. Marys Watershed Following Implementation of a Distressed Watershed Rules Package. </w:t>
      </w:r>
      <w:r w:rsidRPr="008C7009">
        <w:rPr>
          <w:i/>
        </w:rPr>
        <w:t>Journal of environmental quality, 47</w:t>
      </w:r>
      <w:r w:rsidRPr="008C7009">
        <w:t>(1), 113-120. doi:</w:t>
      </w:r>
      <w:hyperlink r:id="rId16" w:history="1">
        <w:r w:rsidRPr="008C7009">
          <w:rPr>
            <w:rStyle w:val="Hyperlink"/>
          </w:rPr>
          <w:t>https://doi.org/10.2134/jeq2017.08.0338</w:t>
        </w:r>
      </w:hyperlink>
    </w:p>
    <w:p w14:paraId="316C8BC0" w14:textId="77777777" w:rsidR="008C7009" w:rsidRPr="008C7009" w:rsidRDefault="008C7009" w:rsidP="008C7009">
      <w:pPr>
        <w:pStyle w:val="EndNoteBibliography"/>
        <w:spacing w:after="0"/>
        <w:ind w:left="720" w:hanging="720"/>
      </w:pPr>
      <w:r w:rsidRPr="008C7009">
        <w:t xml:space="preserve">Jarvie, H. P., Johnson, L. T., Sharpley, A. N., Smith, D. R., Baker, D. B., Bruulsema, T. W., &amp; Confesor, R. (2017). Increased Soluble Phosphorus Loads to Lake Erie: Unintended Consequences of Conservation Practices? </w:t>
      </w:r>
      <w:r w:rsidRPr="008C7009">
        <w:rPr>
          <w:i/>
        </w:rPr>
        <w:t>J Environ Qual, 46</w:t>
      </w:r>
      <w:r w:rsidRPr="008C7009">
        <w:t>(1), 123-132. doi:10.2134/jeq2016.07.0248</w:t>
      </w:r>
    </w:p>
    <w:p w14:paraId="1C861B9A" w14:textId="787A7246" w:rsidR="008C7009" w:rsidRPr="008C7009" w:rsidRDefault="008C7009" w:rsidP="008C7009">
      <w:pPr>
        <w:pStyle w:val="EndNoteBibliography"/>
        <w:spacing w:after="0"/>
        <w:ind w:left="720" w:hanging="720"/>
      </w:pPr>
      <w:r w:rsidRPr="008C7009">
        <w:t xml:space="preserve">Kamrath, B., &amp; Yuan, Y. (2023). Effectiveness of Nutrient Management for Reducing Phosphorus Losses from Agricultural Areas. </w:t>
      </w:r>
      <w:r w:rsidRPr="008C7009">
        <w:rPr>
          <w:i/>
        </w:rPr>
        <w:t>Journal of the ASABE, 0</w:t>
      </w:r>
      <w:r w:rsidRPr="008C7009">
        <w:t>(0), 0. doi:</w:t>
      </w:r>
      <w:hyperlink r:id="rId17" w:history="1">
        <w:r w:rsidRPr="008C7009">
          <w:rPr>
            <w:rStyle w:val="Hyperlink"/>
          </w:rPr>
          <w:t>https://doi.org/10.13031/ja.15572</w:t>
        </w:r>
      </w:hyperlink>
    </w:p>
    <w:p w14:paraId="388C227D" w14:textId="77777777" w:rsidR="008C7009" w:rsidRPr="008C7009" w:rsidRDefault="008C7009" w:rsidP="008C7009">
      <w:pPr>
        <w:pStyle w:val="EndNoteBibliography"/>
        <w:spacing w:after="0"/>
        <w:ind w:left="720" w:hanging="720"/>
      </w:pPr>
      <w:r w:rsidRPr="008C7009">
        <w:t xml:space="preserve">Kast, J. B., Apostel, A. M., Kalcic, M. M., Muenich, R. L., Dagnew, A., Long, C. M., . . . Martin, J. F. (2021). Source contribution to phosphorus loads from the Maumee River watershed to Lake Erie. </w:t>
      </w:r>
      <w:r w:rsidRPr="008C7009">
        <w:rPr>
          <w:i/>
        </w:rPr>
        <w:t>J Environ Manage, 279</w:t>
      </w:r>
      <w:r w:rsidRPr="008C7009">
        <w:t>, 111803. doi:10.1016/j.jenvman.2020.111803</w:t>
      </w:r>
    </w:p>
    <w:p w14:paraId="42ED7B35" w14:textId="77777777" w:rsidR="008C7009" w:rsidRPr="008C7009" w:rsidRDefault="008C7009" w:rsidP="008C7009">
      <w:pPr>
        <w:pStyle w:val="EndNoteBibliography"/>
        <w:spacing w:after="0"/>
        <w:ind w:left="720" w:hanging="720"/>
      </w:pPr>
      <w:r w:rsidRPr="008C7009">
        <w:t xml:space="preserve">King, K. W., Williams, M. R., LaBarge, G. A., Smith, D. R., Reutter, J. M., Duncan, E. W., &amp; Pease, L. A. (2018). Addressing agricultural phosphorus loss in artificially drained landscapes with 4R nutrient management practices. </w:t>
      </w:r>
      <w:r w:rsidRPr="008C7009">
        <w:rPr>
          <w:i/>
        </w:rPr>
        <w:t>Journal of Soil and Water Conservation, 73</w:t>
      </w:r>
      <w:r w:rsidRPr="008C7009">
        <w:t>(1), 35-47. doi:10.2489/jswc.73.1.35</w:t>
      </w:r>
    </w:p>
    <w:p w14:paraId="10A53592" w14:textId="77777777" w:rsidR="008C7009" w:rsidRPr="008C7009" w:rsidRDefault="008C7009" w:rsidP="008C7009">
      <w:pPr>
        <w:pStyle w:val="EndNoteBibliography"/>
        <w:spacing w:after="0"/>
        <w:ind w:left="720" w:hanging="720"/>
      </w:pPr>
      <w:r w:rsidRPr="008C7009">
        <w:t xml:space="preserve">Liu, J., Kleinman, P. J. A., Aronsson, H., Flaten, D., McDowell, R. W., Bechmann, M., . . . Veith, T. L. (2018). A review of regulations and guidelines related to winter manure application. </w:t>
      </w:r>
      <w:r w:rsidRPr="008C7009">
        <w:rPr>
          <w:i/>
        </w:rPr>
        <w:t>Ambio, 47</w:t>
      </w:r>
      <w:r w:rsidRPr="008C7009">
        <w:t>(6), 657-670. doi:10.1007/s13280-018-1012-4</w:t>
      </w:r>
    </w:p>
    <w:p w14:paraId="062543C5" w14:textId="77777777" w:rsidR="008C7009" w:rsidRPr="008C7009" w:rsidRDefault="008C7009" w:rsidP="008C7009">
      <w:pPr>
        <w:pStyle w:val="EndNoteBibliography"/>
        <w:spacing w:after="0"/>
        <w:ind w:left="720" w:hanging="720"/>
      </w:pPr>
      <w:r w:rsidRPr="008C7009">
        <w:lastRenderedPageBreak/>
        <w:t xml:space="preserve">Michalak, A. M., Anderson, E. J., Beletsky, D., Boland, S., Bosch, N. S., Bridgeman, T. B., . . . Zagorski, M. A. (2013). Record-setting algal bloom in Lake Erie caused by agricultural and meteorological trends consistent with expected future conditions. </w:t>
      </w:r>
      <w:r w:rsidRPr="008C7009">
        <w:rPr>
          <w:i/>
        </w:rPr>
        <w:t>Proc Natl Acad Sci U S A, 110</w:t>
      </w:r>
      <w:r w:rsidRPr="008C7009">
        <w:t>(16), 6448-6452. doi:10.1073/pnas.1216006110</w:t>
      </w:r>
    </w:p>
    <w:p w14:paraId="41BEBEB6" w14:textId="77777777" w:rsidR="008C7009" w:rsidRPr="008C7009" w:rsidRDefault="008C7009" w:rsidP="008C7009">
      <w:pPr>
        <w:pStyle w:val="EndNoteBibliography"/>
        <w:spacing w:after="0"/>
        <w:ind w:left="720" w:hanging="720"/>
      </w:pPr>
      <w:r w:rsidRPr="008C7009">
        <w:t xml:space="preserve">Prasad, L. R., Thompson, A. M., Arriaga, F. J., &amp; Vadas, P. A. (2022). Tillage and manure effects on runoff nitrogen and phosphorus losses from frozen soils. </w:t>
      </w:r>
      <w:r w:rsidRPr="008C7009">
        <w:rPr>
          <w:i/>
        </w:rPr>
        <w:t>J Environ Qual, 51</w:t>
      </w:r>
      <w:r w:rsidRPr="008C7009">
        <w:t>(5), 978-989. doi:10.1002/jeq2.20396</w:t>
      </w:r>
    </w:p>
    <w:p w14:paraId="0EEEC935" w14:textId="388F5107" w:rsidR="008C7009" w:rsidRPr="008C7009" w:rsidRDefault="008C7009" w:rsidP="008C7009">
      <w:pPr>
        <w:pStyle w:val="EndNoteBibliography"/>
        <w:spacing w:after="0"/>
        <w:ind w:left="720" w:hanging="720"/>
      </w:pPr>
      <w:r w:rsidRPr="008C7009">
        <w:t xml:space="preserve">R Core Team. (2022). R: A Language and Environment for Statistical Computing (Version 4.1.3). Vienna, Austria: R Foundation for Statistical Computing. Retrieved from </w:t>
      </w:r>
      <w:hyperlink r:id="rId18" w:history="1">
        <w:r w:rsidRPr="008C7009">
          <w:rPr>
            <w:rStyle w:val="Hyperlink"/>
          </w:rPr>
          <w:t>https://www.R-project.org/</w:t>
        </w:r>
      </w:hyperlink>
    </w:p>
    <w:p w14:paraId="6B4F5094" w14:textId="6FC0F7F7" w:rsidR="008C7009" w:rsidRPr="008C7009" w:rsidRDefault="008C7009" w:rsidP="008C7009">
      <w:pPr>
        <w:pStyle w:val="EndNoteBibliography"/>
        <w:spacing w:after="0"/>
        <w:ind w:left="720" w:hanging="720"/>
      </w:pPr>
      <w:r w:rsidRPr="008C7009">
        <w:t xml:space="preserve">Rowland, F. E., Stow, C. A., Johnson, L. T., &amp; Hirsch, R. M. (2021). Lake Erie tributary nutrient trend evaluation: Normalizing concentrations and loads to reduce flow variability. </w:t>
      </w:r>
      <w:r w:rsidRPr="008C7009">
        <w:rPr>
          <w:i/>
        </w:rPr>
        <w:t>Ecological Indicators, 125</w:t>
      </w:r>
      <w:r w:rsidRPr="008C7009">
        <w:t>, 107601. doi:</w:t>
      </w:r>
      <w:hyperlink r:id="rId19" w:history="1">
        <w:r w:rsidRPr="008C7009">
          <w:rPr>
            <w:rStyle w:val="Hyperlink"/>
          </w:rPr>
          <w:t>https://doi.org/10.1016/j.ecolind.2021.107601</w:t>
        </w:r>
      </w:hyperlink>
    </w:p>
    <w:p w14:paraId="646ACD1C" w14:textId="41E22147" w:rsidR="008C7009" w:rsidRPr="008C7009" w:rsidRDefault="008C7009" w:rsidP="008C7009">
      <w:pPr>
        <w:pStyle w:val="EndNoteBibliography"/>
        <w:spacing w:after="0"/>
        <w:ind w:left="720" w:hanging="720"/>
      </w:pPr>
      <w:r w:rsidRPr="008C7009">
        <w:t xml:space="preserve">Scavia, D., David Allan, J., Arend, K. K., Bartell, S., Beletsky, D., Bosch, N. S., . . . Zhou, Y. (2014). Assessing and addressing the re-eutrophication of Lake Erie: Central basin hypoxia. </w:t>
      </w:r>
      <w:r w:rsidRPr="008C7009">
        <w:rPr>
          <w:i/>
        </w:rPr>
        <w:t>Journal of Great Lakes Research, 40</w:t>
      </w:r>
      <w:r w:rsidRPr="008C7009">
        <w:t>(2), 226-246. doi:</w:t>
      </w:r>
      <w:hyperlink r:id="rId20" w:history="1">
        <w:r w:rsidRPr="008C7009">
          <w:rPr>
            <w:rStyle w:val="Hyperlink"/>
          </w:rPr>
          <w:t>https://doi.org/10.1016/j.jglr.2014.02.004</w:t>
        </w:r>
      </w:hyperlink>
    </w:p>
    <w:p w14:paraId="72F6D1A1" w14:textId="77777777" w:rsidR="008C7009" w:rsidRPr="008C7009" w:rsidRDefault="008C7009" w:rsidP="008C7009">
      <w:pPr>
        <w:pStyle w:val="EndNoteBibliography"/>
        <w:spacing w:after="0"/>
        <w:ind w:left="720" w:hanging="720"/>
      </w:pPr>
      <w:r w:rsidRPr="008C7009">
        <w:t xml:space="preserve">Smith, D. R., Owens, P. R., Leytem, A. B., &amp; Warnemuende, E. A. (2007). Nutrient losses from manure and fertilizer applications as impacted by time to first runoff event. </w:t>
      </w:r>
      <w:r w:rsidRPr="008C7009">
        <w:rPr>
          <w:i/>
        </w:rPr>
        <w:t>Environ Pollut, 147</w:t>
      </w:r>
      <w:r w:rsidRPr="008C7009">
        <w:t>(1), 131-137. doi:10.1016/j.envpol.2006.08.021</w:t>
      </w:r>
    </w:p>
    <w:p w14:paraId="0100DB70" w14:textId="77777777" w:rsidR="008C7009" w:rsidRPr="008C7009" w:rsidRDefault="008C7009" w:rsidP="008C7009">
      <w:pPr>
        <w:pStyle w:val="EndNoteBibliography"/>
        <w:spacing w:after="0"/>
        <w:ind w:left="720" w:hanging="720"/>
      </w:pPr>
      <w:r w:rsidRPr="008C7009">
        <w:t xml:space="preserve">Sprague, L. A., Hirsch, R. M., &amp; Aulenbach, B. T. (2011). Nitrate in the Mississippi River and Its Tributaries, 1980 to 2008: Are We Making Progress? </w:t>
      </w:r>
      <w:r w:rsidRPr="008C7009">
        <w:rPr>
          <w:i/>
        </w:rPr>
        <w:t>Environmental science &amp; technology, 45</w:t>
      </w:r>
      <w:r w:rsidRPr="008C7009">
        <w:t>(17), 7209-7216. doi:10.1021/es201221s</w:t>
      </w:r>
    </w:p>
    <w:p w14:paraId="2879870F" w14:textId="77777777" w:rsidR="008C7009" w:rsidRPr="008C7009" w:rsidRDefault="008C7009" w:rsidP="008C7009">
      <w:pPr>
        <w:pStyle w:val="EndNoteBibliography"/>
        <w:spacing w:after="0"/>
        <w:ind w:left="720" w:hanging="720"/>
      </w:pPr>
      <w:r w:rsidRPr="008C7009">
        <w:t xml:space="preserve">Srinivasan, M. S., Bryant, R. B., Callahan, M. P., &amp; Weld, J. L. (2006). Manure management and nutreint loss under winter conditions: A literature review. </w:t>
      </w:r>
      <w:r w:rsidRPr="008C7009">
        <w:rPr>
          <w:i/>
        </w:rPr>
        <w:t>Journal of Soil and Water Conservation, 61</w:t>
      </w:r>
      <w:r w:rsidRPr="008C7009">
        <w:t xml:space="preserve">(4), 200-209. </w:t>
      </w:r>
    </w:p>
    <w:p w14:paraId="039E7107" w14:textId="77777777" w:rsidR="008C7009" w:rsidRPr="008C7009" w:rsidRDefault="008C7009" w:rsidP="008C7009">
      <w:pPr>
        <w:pStyle w:val="EndNoteBibliography"/>
        <w:spacing w:after="0"/>
        <w:ind w:left="720" w:hanging="720"/>
      </w:pPr>
      <w:r w:rsidRPr="008C7009">
        <w:t xml:space="preserve">Stock, M. N., Arriaga, F. J., Vadas, P. A., Good, L. W., Casler, M. D., Karthikeyan, K. G., &amp; Zopp, Z. (2019). Fall Tillage Reduced Nutrient Loads from Liquid Manure Application during the Freezing Season. </w:t>
      </w:r>
      <w:r w:rsidRPr="008C7009">
        <w:rPr>
          <w:i/>
        </w:rPr>
        <w:t>J Environ Qual, 48</w:t>
      </w:r>
      <w:r w:rsidRPr="008C7009">
        <w:t>(4), 889-898. doi:10.2134/jeq2018.11.0417</w:t>
      </w:r>
    </w:p>
    <w:p w14:paraId="17606183" w14:textId="77777777" w:rsidR="008C7009" w:rsidRPr="008C7009" w:rsidRDefault="008C7009" w:rsidP="008C7009">
      <w:pPr>
        <w:pStyle w:val="EndNoteBibliography"/>
        <w:spacing w:after="0"/>
        <w:ind w:left="720" w:hanging="720"/>
      </w:pPr>
      <w:r w:rsidRPr="008C7009">
        <w:t xml:space="preserve">Stumpf, R. P., Wynne, T. T., Baker, D. B., &amp; Fahnenstiel, G. L. (2012). Interannual variability of cyanobacterial blooms in Lake Erie. </w:t>
      </w:r>
      <w:r w:rsidRPr="008C7009">
        <w:rPr>
          <w:i/>
        </w:rPr>
        <w:t>PloS one, 7</w:t>
      </w:r>
      <w:r w:rsidRPr="008C7009">
        <w:t>(8), e42444. doi:10.1371/journal.pone.0042444</w:t>
      </w:r>
    </w:p>
    <w:p w14:paraId="3EAEE94A" w14:textId="3F18CBC1" w:rsidR="008C7009" w:rsidRPr="008C7009" w:rsidRDefault="008C7009" w:rsidP="008C7009">
      <w:pPr>
        <w:pStyle w:val="EndNoteBibliography"/>
        <w:ind w:left="720" w:hanging="720"/>
      </w:pPr>
      <w:r w:rsidRPr="008C7009">
        <w:t xml:space="preserve">USEPA. (2016). Governments of Canada and the United States Announce Phosphorus Reduction Targets of 40 percent to Improve Lake Erie Water Quality and Reduce Public Health Risk [Press release]. Retrieved from </w:t>
      </w:r>
      <w:hyperlink r:id="rId21" w:history="1">
        <w:r w:rsidRPr="008C7009">
          <w:rPr>
            <w:rStyle w:val="Hyperlink"/>
          </w:rPr>
          <w:t>https://19january2017snapshot.epa.gov/newsreleases/governments-canada-and-united-states-announce-phosphorus-reduction-targets-40-percent_.html</w:t>
        </w:r>
      </w:hyperlink>
    </w:p>
    <w:p w14:paraId="4B5E1FDD" w14:textId="25B71326" w:rsidR="00494CFD" w:rsidRPr="00134E80" w:rsidRDefault="00001EA6" w:rsidP="00134E80">
      <w:r>
        <w:fldChar w:fldCharType="end"/>
      </w:r>
    </w:p>
    <w:sectPr w:rsidR="00494CFD" w:rsidRPr="00134E80" w:rsidSect="003B11E5">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6F1B"/>
    <w:multiLevelType w:val="hybridMultilevel"/>
    <w:tmpl w:val="6FB6F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6"/>
  </w:num>
  <w:num w:numId="3" w16cid:durableId="1885096375">
    <w:abstractNumId w:val="3"/>
  </w:num>
  <w:num w:numId="4" w16cid:durableId="1855727854">
    <w:abstractNumId w:val="4"/>
  </w:num>
  <w:num w:numId="5" w16cid:durableId="1705212517">
    <w:abstractNumId w:val="2"/>
  </w:num>
  <w:num w:numId="6" w16cid:durableId="629818915">
    <w:abstractNumId w:val="5"/>
  </w:num>
  <w:num w:numId="7" w16cid:durableId="208012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5401&lt;/item&gt;&lt;item&gt;15423&lt;/item&gt;&lt;item&gt;15475&lt;/item&gt;&lt;item&gt;16859&lt;/item&gt;&lt;item&gt;16860&lt;/item&gt;&lt;item&gt;16865&lt;/item&gt;&lt;item&gt;16872&lt;/item&gt;&lt;item&gt;16875&lt;/item&gt;&lt;item&gt;16877&lt;/item&gt;&lt;item&gt;16918&lt;/item&gt;&lt;item&gt;16934&lt;/item&gt;&lt;item&gt;16941&lt;/item&gt;&lt;item&gt;16954&lt;/item&gt;&lt;item&gt;16955&lt;/item&gt;&lt;item&gt;16957&lt;/item&gt;&lt;item&gt;16960&lt;/item&gt;&lt;item&gt;16961&lt;/item&gt;&lt;item&gt;16967&lt;/item&gt;&lt;item&gt;16968&lt;/item&gt;&lt;item&gt;16969&lt;/item&gt;&lt;item&gt;16970&lt;/item&gt;&lt;item&gt;16971&lt;/item&gt;&lt;item&gt;16973&lt;/item&gt;&lt;/record-ids&gt;&lt;/item&gt;&lt;/Libraries&gt;"/>
  </w:docVars>
  <w:rsids>
    <w:rsidRoot w:val="006028A4"/>
    <w:rsid w:val="00000847"/>
    <w:rsid w:val="00001EA6"/>
    <w:rsid w:val="00006456"/>
    <w:rsid w:val="00007012"/>
    <w:rsid w:val="00013A95"/>
    <w:rsid w:val="00020458"/>
    <w:rsid w:val="00037B5E"/>
    <w:rsid w:val="00047F52"/>
    <w:rsid w:val="00060133"/>
    <w:rsid w:val="00072255"/>
    <w:rsid w:val="0007409A"/>
    <w:rsid w:val="000766F5"/>
    <w:rsid w:val="00093074"/>
    <w:rsid w:val="0009540C"/>
    <w:rsid w:val="000960E0"/>
    <w:rsid w:val="000B34CA"/>
    <w:rsid w:val="000B7C4D"/>
    <w:rsid w:val="000C186C"/>
    <w:rsid w:val="000C54B3"/>
    <w:rsid w:val="000F273B"/>
    <w:rsid w:val="000F4704"/>
    <w:rsid w:val="00102BE0"/>
    <w:rsid w:val="00111D8F"/>
    <w:rsid w:val="0011336B"/>
    <w:rsid w:val="00116413"/>
    <w:rsid w:val="00117C88"/>
    <w:rsid w:val="00125210"/>
    <w:rsid w:val="00127B9B"/>
    <w:rsid w:val="0013285D"/>
    <w:rsid w:val="00134E80"/>
    <w:rsid w:val="00143A3B"/>
    <w:rsid w:val="00147BB0"/>
    <w:rsid w:val="001542C5"/>
    <w:rsid w:val="00171A81"/>
    <w:rsid w:val="0017353A"/>
    <w:rsid w:val="00173DE2"/>
    <w:rsid w:val="001806AD"/>
    <w:rsid w:val="001809AE"/>
    <w:rsid w:val="001820D5"/>
    <w:rsid w:val="001870E0"/>
    <w:rsid w:val="00192F14"/>
    <w:rsid w:val="00194D6B"/>
    <w:rsid w:val="001A5D88"/>
    <w:rsid w:val="001B2703"/>
    <w:rsid w:val="001B429D"/>
    <w:rsid w:val="001B6C08"/>
    <w:rsid w:val="001B723E"/>
    <w:rsid w:val="001C2248"/>
    <w:rsid w:val="001F0266"/>
    <w:rsid w:val="001F0C29"/>
    <w:rsid w:val="001F43A8"/>
    <w:rsid w:val="001F4D6F"/>
    <w:rsid w:val="002133D0"/>
    <w:rsid w:val="00233441"/>
    <w:rsid w:val="00235289"/>
    <w:rsid w:val="002367D4"/>
    <w:rsid w:val="00237824"/>
    <w:rsid w:val="002400D7"/>
    <w:rsid w:val="00244300"/>
    <w:rsid w:val="002508A3"/>
    <w:rsid w:val="00250D08"/>
    <w:rsid w:val="002545B7"/>
    <w:rsid w:val="00255512"/>
    <w:rsid w:val="00256327"/>
    <w:rsid w:val="00284B69"/>
    <w:rsid w:val="00290695"/>
    <w:rsid w:val="002912E6"/>
    <w:rsid w:val="002A2836"/>
    <w:rsid w:val="002A2D65"/>
    <w:rsid w:val="002B34B5"/>
    <w:rsid w:val="002B66E8"/>
    <w:rsid w:val="002C0946"/>
    <w:rsid w:val="002C165A"/>
    <w:rsid w:val="002C2357"/>
    <w:rsid w:val="002C42A1"/>
    <w:rsid w:val="002D25E0"/>
    <w:rsid w:val="002E206E"/>
    <w:rsid w:val="002E468A"/>
    <w:rsid w:val="002F1AB6"/>
    <w:rsid w:val="00305DBA"/>
    <w:rsid w:val="00311AFB"/>
    <w:rsid w:val="00334747"/>
    <w:rsid w:val="00335704"/>
    <w:rsid w:val="00341845"/>
    <w:rsid w:val="00346E5A"/>
    <w:rsid w:val="00351D83"/>
    <w:rsid w:val="003546F8"/>
    <w:rsid w:val="00361A04"/>
    <w:rsid w:val="00364DB0"/>
    <w:rsid w:val="00366CF2"/>
    <w:rsid w:val="00383FFE"/>
    <w:rsid w:val="003867D1"/>
    <w:rsid w:val="003A0EE8"/>
    <w:rsid w:val="003A52D0"/>
    <w:rsid w:val="003B11E5"/>
    <w:rsid w:val="003B2854"/>
    <w:rsid w:val="003B7D3C"/>
    <w:rsid w:val="003D32D3"/>
    <w:rsid w:val="003E4640"/>
    <w:rsid w:val="003E477B"/>
    <w:rsid w:val="003E5B81"/>
    <w:rsid w:val="00404DE7"/>
    <w:rsid w:val="004134A0"/>
    <w:rsid w:val="00413D2A"/>
    <w:rsid w:val="00417D68"/>
    <w:rsid w:val="00417F32"/>
    <w:rsid w:val="00421381"/>
    <w:rsid w:val="004234A8"/>
    <w:rsid w:val="004305F5"/>
    <w:rsid w:val="004349A8"/>
    <w:rsid w:val="00435682"/>
    <w:rsid w:val="00437CD0"/>
    <w:rsid w:val="00445C64"/>
    <w:rsid w:val="00450C40"/>
    <w:rsid w:val="004536A7"/>
    <w:rsid w:val="00464FFB"/>
    <w:rsid w:val="00465B43"/>
    <w:rsid w:val="00467D4F"/>
    <w:rsid w:val="0047363D"/>
    <w:rsid w:val="00474CA1"/>
    <w:rsid w:val="004935D5"/>
    <w:rsid w:val="00494CFD"/>
    <w:rsid w:val="004A7BAB"/>
    <w:rsid w:val="004B532F"/>
    <w:rsid w:val="004B6DEC"/>
    <w:rsid w:val="004E0BAE"/>
    <w:rsid w:val="004E5C0E"/>
    <w:rsid w:val="004F3EF9"/>
    <w:rsid w:val="004F5794"/>
    <w:rsid w:val="0051067E"/>
    <w:rsid w:val="00512084"/>
    <w:rsid w:val="00522578"/>
    <w:rsid w:val="00527558"/>
    <w:rsid w:val="005275C0"/>
    <w:rsid w:val="0055297E"/>
    <w:rsid w:val="00552A1A"/>
    <w:rsid w:val="00555C60"/>
    <w:rsid w:val="005642F2"/>
    <w:rsid w:val="005701AA"/>
    <w:rsid w:val="0057570B"/>
    <w:rsid w:val="00581A5E"/>
    <w:rsid w:val="005870B8"/>
    <w:rsid w:val="0059172A"/>
    <w:rsid w:val="005968C7"/>
    <w:rsid w:val="005A62BC"/>
    <w:rsid w:val="005B122A"/>
    <w:rsid w:val="005C2ADE"/>
    <w:rsid w:val="005C39B1"/>
    <w:rsid w:val="005D37F8"/>
    <w:rsid w:val="005D3F20"/>
    <w:rsid w:val="005D401C"/>
    <w:rsid w:val="005E7D1F"/>
    <w:rsid w:val="005F0409"/>
    <w:rsid w:val="005F342D"/>
    <w:rsid w:val="005F39F8"/>
    <w:rsid w:val="005F5529"/>
    <w:rsid w:val="006003F8"/>
    <w:rsid w:val="006019F7"/>
    <w:rsid w:val="0060240F"/>
    <w:rsid w:val="006028A4"/>
    <w:rsid w:val="00606592"/>
    <w:rsid w:val="0061184F"/>
    <w:rsid w:val="00613B84"/>
    <w:rsid w:val="00616D07"/>
    <w:rsid w:val="00621FF3"/>
    <w:rsid w:val="006326CF"/>
    <w:rsid w:val="00641E24"/>
    <w:rsid w:val="00662612"/>
    <w:rsid w:val="00665B3B"/>
    <w:rsid w:val="0067082F"/>
    <w:rsid w:val="00670D45"/>
    <w:rsid w:val="00670DC4"/>
    <w:rsid w:val="00676083"/>
    <w:rsid w:val="00684545"/>
    <w:rsid w:val="0069319F"/>
    <w:rsid w:val="006976C7"/>
    <w:rsid w:val="006979D8"/>
    <w:rsid w:val="006A238A"/>
    <w:rsid w:val="006B06FA"/>
    <w:rsid w:val="006B6E31"/>
    <w:rsid w:val="006C1567"/>
    <w:rsid w:val="006C27DE"/>
    <w:rsid w:val="006C528F"/>
    <w:rsid w:val="006C5769"/>
    <w:rsid w:val="006D22F4"/>
    <w:rsid w:val="006D30C9"/>
    <w:rsid w:val="006D594B"/>
    <w:rsid w:val="006E2C1C"/>
    <w:rsid w:val="006F4FBA"/>
    <w:rsid w:val="00706694"/>
    <w:rsid w:val="0071425D"/>
    <w:rsid w:val="007251AF"/>
    <w:rsid w:val="00726B6B"/>
    <w:rsid w:val="00733F31"/>
    <w:rsid w:val="0073503F"/>
    <w:rsid w:val="0075141E"/>
    <w:rsid w:val="00752603"/>
    <w:rsid w:val="00755DF7"/>
    <w:rsid w:val="00761392"/>
    <w:rsid w:val="007634A4"/>
    <w:rsid w:val="0076435D"/>
    <w:rsid w:val="0076584D"/>
    <w:rsid w:val="0078110D"/>
    <w:rsid w:val="007815EA"/>
    <w:rsid w:val="007913DC"/>
    <w:rsid w:val="00796E8D"/>
    <w:rsid w:val="00796ECD"/>
    <w:rsid w:val="007A7929"/>
    <w:rsid w:val="007B35EB"/>
    <w:rsid w:val="007B792E"/>
    <w:rsid w:val="007C0466"/>
    <w:rsid w:val="007C3C14"/>
    <w:rsid w:val="007C6249"/>
    <w:rsid w:val="007D01A0"/>
    <w:rsid w:val="007D0C12"/>
    <w:rsid w:val="007E31AC"/>
    <w:rsid w:val="007E4D23"/>
    <w:rsid w:val="007E79F2"/>
    <w:rsid w:val="007F21B4"/>
    <w:rsid w:val="00814397"/>
    <w:rsid w:val="00815390"/>
    <w:rsid w:val="00817095"/>
    <w:rsid w:val="00817AB1"/>
    <w:rsid w:val="00823EFB"/>
    <w:rsid w:val="008278C5"/>
    <w:rsid w:val="00832C39"/>
    <w:rsid w:val="00837326"/>
    <w:rsid w:val="00851439"/>
    <w:rsid w:val="00852BB0"/>
    <w:rsid w:val="008547C1"/>
    <w:rsid w:val="0085578E"/>
    <w:rsid w:val="0085588B"/>
    <w:rsid w:val="0086069D"/>
    <w:rsid w:val="0086141C"/>
    <w:rsid w:val="00862EAA"/>
    <w:rsid w:val="00880B5B"/>
    <w:rsid w:val="00880CF0"/>
    <w:rsid w:val="008A1876"/>
    <w:rsid w:val="008A7740"/>
    <w:rsid w:val="008C7009"/>
    <w:rsid w:val="008E5555"/>
    <w:rsid w:val="008E6F55"/>
    <w:rsid w:val="008F33AE"/>
    <w:rsid w:val="009008AF"/>
    <w:rsid w:val="009008CF"/>
    <w:rsid w:val="00914D50"/>
    <w:rsid w:val="00916B60"/>
    <w:rsid w:val="00954666"/>
    <w:rsid w:val="0097545F"/>
    <w:rsid w:val="00987E2F"/>
    <w:rsid w:val="00990397"/>
    <w:rsid w:val="009A5F0C"/>
    <w:rsid w:val="009B472D"/>
    <w:rsid w:val="009B64EB"/>
    <w:rsid w:val="009B77B7"/>
    <w:rsid w:val="009C16DB"/>
    <w:rsid w:val="009E4B95"/>
    <w:rsid w:val="009F5F35"/>
    <w:rsid w:val="00A042A4"/>
    <w:rsid w:val="00A04BBD"/>
    <w:rsid w:val="00A072D7"/>
    <w:rsid w:val="00A21595"/>
    <w:rsid w:val="00A27493"/>
    <w:rsid w:val="00A3285A"/>
    <w:rsid w:val="00A37D55"/>
    <w:rsid w:val="00A45C64"/>
    <w:rsid w:val="00A4731C"/>
    <w:rsid w:val="00A649C8"/>
    <w:rsid w:val="00A651B3"/>
    <w:rsid w:val="00A6766B"/>
    <w:rsid w:val="00A72C7F"/>
    <w:rsid w:val="00A774C4"/>
    <w:rsid w:val="00A77555"/>
    <w:rsid w:val="00A90F94"/>
    <w:rsid w:val="00A9135C"/>
    <w:rsid w:val="00AA1D32"/>
    <w:rsid w:val="00AB4E67"/>
    <w:rsid w:val="00AC67C0"/>
    <w:rsid w:val="00AC7683"/>
    <w:rsid w:val="00AD19B7"/>
    <w:rsid w:val="00AD33B5"/>
    <w:rsid w:val="00AE17A6"/>
    <w:rsid w:val="00AE2698"/>
    <w:rsid w:val="00AF524C"/>
    <w:rsid w:val="00B0389C"/>
    <w:rsid w:val="00B04CD5"/>
    <w:rsid w:val="00B1119E"/>
    <w:rsid w:val="00B1241F"/>
    <w:rsid w:val="00B1437D"/>
    <w:rsid w:val="00B15190"/>
    <w:rsid w:val="00B22E84"/>
    <w:rsid w:val="00B249A0"/>
    <w:rsid w:val="00B24DA9"/>
    <w:rsid w:val="00B263E2"/>
    <w:rsid w:val="00B26DD2"/>
    <w:rsid w:val="00B26EFA"/>
    <w:rsid w:val="00B303B3"/>
    <w:rsid w:val="00B34DD4"/>
    <w:rsid w:val="00B34F7A"/>
    <w:rsid w:val="00B3565A"/>
    <w:rsid w:val="00B36975"/>
    <w:rsid w:val="00B40330"/>
    <w:rsid w:val="00B417F7"/>
    <w:rsid w:val="00B42235"/>
    <w:rsid w:val="00B42E24"/>
    <w:rsid w:val="00B63652"/>
    <w:rsid w:val="00B70EC6"/>
    <w:rsid w:val="00B8706C"/>
    <w:rsid w:val="00B90537"/>
    <w:rsid w:val="00B9561A"/>
    <w:rsid w:val="00BA5121"/>
    <w:rsid w:val="00BA6480"/>
    <w:rsid w:val="00BB60DF"/>
    <w:rsid w:val="00BB6E51"/>
    <w:rsid w:val="00BC0DA4"/>
    <w:rsid w:val="00BD0587"/>
    <w:rsid w:val="00BD0889"/>
    <w:rsid w:val="00BD53EA"/>
    <w:rsid w:val="00BE47A0"/>
    <w:rsid w:val="00BE643D"/>
    <w:rsid w:val="00BE736F"/>
    <w:rsid w:val="00BF4989"/>
    <w:rsid w:val="00BF5492"/>
    <w:rsid w:val="00BF765F"/>
    <w:rsid w:val="00C020A5"/>
    <w:rsid w:val="00C06BCB"/>
    <w:rsid w:val="00C06CFA"/>
    <w:rsid w:val="00C073F9"/>
    <w:rsid w:val="00C21A9D"/>
    <w:rsid w:val="00C21CEB"/>
    <w:rsid w:val="00C25BC8"/>
    <w:rsid w:val="00C32B3F"/>
    <w:rsid w:val="00C36E91"/>
    <w:rsid w:val="00C40FED"/>
    <w:rsid w:val="00C415AC"/>
    <w:rsid w:val="00C43654"/>
    <w:rsid w:val="00C43D60"/>
    <w:rsid w:val="00C5354B"/>
    <w:rsid w:val="00C5674C"/>
    <w:rsid w:val="00C56C5D"/>
    <w:rsid w:val="00C64625"/>
    <w:rsid w:val="00C741BA"/>
    <w:rsid w:val="00C76EE7"/>
    <w:rsid w:val="00C821C6"/>
    <w:rsid w:val="00C839CD"/>
    <w:rsid w:val="00C83EA7"/>
    <w:rsid w:val="00C940D8"/>
    <w:rsid w:val="00CA5368"/>
    <w:rsid w:val="00CB0AFF"/>
    <w:rsid w:val="00CB1662"/>
    <w:rsid w:val="00CB1B73"/>
    <w:rsid w:val="00CB7291"/>
    <w:rsid w:val="00CB7E87"/>
    <w:rsid w:val="00CC5682"/>
    <w:rsid w:val="00CD1F3D"/>
    <w:rsid w:val="00CD2008"/>
    <w:rsid w:val="00CD2E89"/>
    <w:rsid w:val="00CD465B"/>
    <w:rsid w:val="00CD7549"/>
    <w:rsid w:val="00CE2459"/>
    <w:rsid w:val="00CE6EB8"/>
    <w:rsid w:val="00D0235F"/>
    <w:rsid w:val="00D14A36"/>
    <w:rsid w:val="00D150A7"/>
    <w:rsid w:val="00D20B1C"/>
    <w:rsid w:val="00D22C5D"/>
    <w:rsid w:val="00D24092"/>
    <w:rsid w:val="00D26CF2"/>
    <w:rsid w:val="00D27212"/>
    <w:rsid w:val="00D37403"/>
    <w:rsid w:val="00D4064D"/>
    <w:rsid w:val="00D44EA0"/>
    <w:rsid w:val="00D554C6"/>
    <w:rsid w:val="00D6072C"/>
    <w:rsid w:val="00D610D2"/>
    <w:rsid w:val="00D623F7"/>
    <w:rsid w:val="00D6311F"/>
    <w:rsid w:val="00D66B82"/>
    <w:rsid w:val="00D70C40"/>
    <w:rsid w:val="00D7414E"/>
    <w:rsid w:val="00D76E01"/>
    <w:rsid w:val="00D77306"/>
    <w:rsid w:val="00D842CB"/>
    <w:rsid w:val="00D844C8"/>
    <w:rsid w:val="00D849FC"/>
    <w:rsid w:val="00D9268F"/>
    <w:rsid w:val="00D961E6"/>
    <w:rsid w:val="00DA0AC9"/>
    <w:rsid w:val="00DA4C72"/>
    <w:rsid w:val="00DA4D9C"/>
    <w:rsid w:val="00DA5CCF"/>
    <w:rsid w:val="00DC044A"/>
    <w:rsid w:val="00DE3B34"/>
    <w:rsid w:val="00DE55A7"/>
    <w:rsid w:val="00DE741D"/>
    <w:rsid w:val="00DF2E13"/>
    <w:rsid w:val="00E043F5"/>
    <w:rsid w:val="00E17422"/>
    <w:rsid w:val="00E17E39"/>
    <w:rsid w:val="00E226F8"/>
    <w:rsid w:val="00E24710"/>
    <w:rsid w:val="00E3171F"/>
    <w:rsid w:val="00E42991"/>
    <w:rsid w:val="00E5593C"/>
    <w:rsid w:val="00E56AB6"/>
    <w:rsid w:val="00E60EA4"/>
    <w:rsid w:val="00E63A6B"/>
    <w:rsid w:val="00E64F4F"/>
    <w:rsid w:val="00E709B2"/>
    <w:rsid w:val="00E83322"/>
    <w:rsid w:val="00E84107"/>
    <w:rsid w:val="00EA4724"/>
    <w:rsid w:val="00EB3B95"/>
    <w:rsid w:val="00EB57B6"/>
    <w:rsid w:val="00EC7F10"/>
    <w:rsid w:val="00ED0138"/>
    <w:rsid w:val="00ED28A1"/>
    <w:rsid w:val="00ED6FF0"/>
    <w:rsid w:val="00ED74D5"/>
    <w:rsid w:val="00EE6865"/>
    <w:rsid w:val="00EF05F9"/>
    <w:rsid w:val="00EF075A"/>
    <w:rsid w:val="00F02155"/>
    <w:rsid w:val="00F0282F"/>
    <w:rsid w:val="00F103F7"/>
    <w:rsid w:val="00F1390A"/>
    <w:rsid w:val="00F21C60"/>
    <w:rsid w:val="00F3277B"/>
    <w:rsid w:val="00F40B39"/>
    <w:rsid w:val="00F507B2"/>
    <w:rsid w:val="00F55E79"/>
    <w:rsid w:val="00F62E8C"/>
    <w:rsid w:val="00F65817"/>
    <w:rsid w:val="00F737C3"/>
    <w:rsid w:val="00F91D78"/>
    <w:rsid w:val="00FA05EC"/>
    <w:rsid w:val="00FB224B"/>
    <w:rsid w:val="00FB4B72"/>
    <w:rsid w:val="00FB6C46"/>
    <w:rsid w:val="00FC32AF"/>
    <w:rsid w:val="00FC53F4"/>
    <w:rsid w:val="00FC69DA"/>
    <w:rsid w:val="00FD18BA"/>
    <w:rsid w:val="00FD438A"/>
    <w:rsid w:val="00FD5A3F"/>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100415943">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307369544">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532381147">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784662529">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9705680">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684673376">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s://code.usgs.gov/water/dataRetrieva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19january2017snapshot.epa.gov/newsreleases/governments-canada-and-united-states-announce-phosphorus-reduction-targets-40-percent_.html" TargetMode="Externa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doi.org/10.13031/ja.15572" TargetMode="External"/><Relationship Id="rId2" Type="http://schemas.openxmlformats.org/officeDocument/2006/relationships/numbering" Target="numbering.xml"/><Relationship Id="rId16" Type="http://schemas.openxmlformats.org/officeDocument/2006/relationships/hyperlink" Target="https://doi.org/10.2134/jeq2017.08.0338" TargetMode="External"/><Relationship Id="rId20" Type="http://schemas.openxmlformats.org/officeDocument/2006/relationships/hyperlink" Target="https://doi.org/10.1016/j.jglr.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i.org/10.1016/j.ecolind.2021.1076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s.usgs.gov/tm/04/a1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9637</Words>
  <Characters>54935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3</cp:revision>
  <cp:lastPrinted>2023-09-26T11:59:00Z</cp:lastPrinted>
  <dcterms:created xsi:type="dcterms:W3CDTF">2023-12-08T21:37:00Z</dcterms:created>
  <dcterms:modified xsi:type="dcterms:W3CDTF">2023-12-08T21:41:00Z</dcterms:modified>
</cp:coreProperties>
</file>