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1BA5" w14:textId="5F4994AC" w:rsidR="00F25F1C" w:rsidRDefault="00F25F1C" w:rsidP="00F25F1C">
      <w:pPr>
        <w:pStyle w:val="Heading2"/>
      </w:pPr>
      <w:r>
        <w:t>Information on site hydrology</w:t>
      </w:r>
    </w:p>
    <w:p w14:paraId="48D354DB" w14:textId="507D4655" w:rsidR="00B62BB7" w:rsidRDefault="00411003">
      <w:r>
        <w:t>Flow conditions in the seven watersheds, pre- and post- July 3</w:t>
      </w:r>
      <w:r w:rsidRPr="00411003">
        <w:rPr>
          <w:vertAlign w:val="superscript"/>
        </w:rPr>
        <w:t>rd</w:t>
      </w:r>
      <w:r>
        <w:t>, 2015.</w:t>
      </w:r>
    </w:p>
    <w:p w14:paraId="29DED350" w14:textId="7E42D18B" w:rsidR="00411003" w:rsidRDefault="00E45A3B">
      <w:r>
        <w:rPr>
          <w:noProof/>
        </w:rPr>
        <w:drawing>
          <wp:inline distT="0" distB="0" distL="0" distR="0" wp14:anchorId="0702394D" wp14:editId="69D40D24">
            <wp:extent cx="5943600" cy="3714750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B868" w14:textId="5C4A4FC0" w:rsidR="00F25F1C" w:rsidRDefault="00F25F1C">
      <w:r>
        <w:t xml:space="preserve">Figure SX: </w:t>
      </w:r>
      <w:r w:rsidRPr="00F25F1C">
        <w:t>Annual discharge</w:t>
      </w:r>
      <w:r>
        <w:t xml:space="preserve"> with time</w:t>
      </w:r>
      <w:r w:rsidRPr="00F25F1C">
        <w:t xml:space="preserve">. Discharge (Q) is average annual daily discharge </w:t>
      </w:r>
      <w:r>
        <w:t>(</w:t>
      </w:r>
      <w:r w:rsidRPr="00F25F1C">
        <w:t xml:space="preserve">cubic meters). </w:t>
      </w:r>
      <w:r>
        <w:t>Year shown are water years</w:t>
      </w:r>
      <w:r w:rsidRPr="00F25F1C">
        <w:t xml:space="preserve"> </w:t>
      </w:r>
      <w:r>
        <w:t>(</w:t>
      </w:r>
      <w:r w:rsidRPr="00F25F1C">
        <w:t xml:space="preserve">October </w:t>
      </w:r>
      <w:r>
        <w:t xml:space="preserve">to </w:t>
      </w:r>
      <w:r w:rsidRPr="00F25F1C">
        <w:t>September)</w:t>
      </w:r>
      <w:r>
        <w:t>.</w:t>
      </w:r>
      <w:r w:rsidRPr="00F25F1C">
        <w:t xml:space="preserve"> </w:t>
      </w:r>
      <w:r>
        <w:t>The point and error bar plots represent the mean and 95% confidence interval of the annual daily discharge.</w:t>
      </w:r>
      <w:r w:rsidR="00A4577B">
        <w:t xml:space="preserve"> Note: the y-axes vary across plots due to substantial differences in watershed size across sites.</w:t>
      </w:r>
    </w:p>
    <w:p w14:paraId="7ED69BA2" w14:textId="2422B148" w:rsidR="00E45A3B" w:rsidRDefault="00E45A3B"/>
    <w:p w14:paraId="61F7DE43" w14:textId="05F73736" w:rsidR="00E45A3B" w:rsidRDefault="00E45A3B">
      <w:r>
        <w:t>Table X: Comparison of mean values pre and post the nutrient management regulations</w:t>
      </w:r>
      <w:r w:rsidR="00267648">
        <w:t>.</w:t>
      </w:r>
    </w:p>
    <w:tbl>
      <w:tblPr>
        <w:tblStyle w:val="TableGrid"/>
        <w:tblW w:w="6427" w:type="dxa"/>
        <w:tblLook w:val="04A0" w:firstRow="1" w:lastRow="0" w:firstColumn="1" w:lastColumn="0" w:noHBand="0" w:noVBand="1"/>
      </w:tblPr>
      <w:tblGrid>
        <w:gridCol w:w="1114"/>
        <w:gridCol w:w="1176"/>
        <w:gridCol w:w="960"/>
        <w:gridCol w:w="1133"/>
        <w:gridCol w:w="960"/>
        <w:gridCol w:w="1084"/>
      </w:tblGrid>
      <w:tr w:rsidR="00DA055C" w:rsidRPr="00F14FCB" w14:paraId="6CA7E201" w14:textId="77777777" w:rsidTr="00D83891">
        <w:trPr>
          <w:trHeight w:val="290"/>
        </w:trPr>
        <w:tc>
          <w:tcPr>
            <w:tcW w:w="1114" w:type="dxa"/>
            <w:vMerge w:val="restart"/>
            <w:noWrap/>
          </w:tcPr>
          <w:p w14:paraId="063F7F44" w14:textId="7BD82605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F14FCB">
              <w:rPr>
                <w:rFonts w:ascii="Calibri" w:eastAsia="Times New Roman" w:hAnsi="Calibri" w:cs="Calibri"/>
                <w:color w:val="000000"/>
              </w:rPr>
              <w:t>tation</w:t>
            </w:r>
          </w:p>
        </w:tc>
        <w:tc>
          <w:tcPr>
            <w:tcW w:w="2136" w:type="dxa"/>
            <w:gridSpan w:val="2"/>
            <w:noWrap/>
          </w:tcPr>
          <w:p w14:paraId="6452A4EE" w14:textId="4F2D9365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Pre-Regulation</w:t>
            </w:r>
          </w:p>
        </w:tc>
        <w:tc>
          <w:tcPr>
            <w:tcW w:w="2093" w:type="dxa"/>
            <w:gridSpan w:val="2"/>
            <w:noWrap/>
          </w:tcPr>
          <w:p w14:paraId="55523C1B" w14:textId="1A4A3FC8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Post-regulation</w:t>
            </w:r>
          </w:p>
        </w:tc>
        <w:tc>
          <w:tcPr>
            <w:tcW w:w="1084" w:type="dxa"/>
            <w:vMerge w:val="restart"/>
            <w:noWrap/>
          </w:tcPr>
          <w:p w14:paraId="4ED8C26E" w14:textId="2BB156BC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Pe</w:t>
            </w:r>
            <w:r>
              <w:rPr>
                <w:rFonts w:ascii="Calibri" w:eastAsia="Times New Roman" w:hAnsi="Calibri" w:cs="Calibri"/>
                <w:color w:val="000000"/>
              </w:rPr>
              <w:t>rcent change</w:t>
            </w:r>
          </w:p>
        </w:tc>
      </w:tr>
      <w:tr w:rsidR="00DA055C" w:rsidRPr="00F14FCB" w14:paraId="36C83A62" w14:textId="77777777" w:rsidTr="00DA055C">
        <w:trPr>
          <w:trHeight w:val="290"/>
        </w:trPr>
        <w:tc>
          <w:tcPr>
            <w:tcW w:w="1114" w:type="dxa"/>
            <w:vMerge/>
            <w:noWrap/>
            <w:hideMark/>
          </w:tcPr>
          <w:p w14:paraId="60990640" w14:textId="03C642C7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6" w:type="dxa"/>
            <w:noWrap/>
            <w:hideMark/>
          </w:tcPr>
          <w:p w14:paraId="6991C261" w14:textId="584586CB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17DAEA1E" w14:textId="1CA8D563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133" w:type="dxa"/>
            <w:noWrap/>
            <w:hideMark/>
          </w:tcPr>
          <w:p w14:paraId="4454436F" w14:textId="45FA9165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noWrap/>
            <w:hideMark/>
          </w:tcPr>
          <w:p w14:paraId="6FABDE8D" w14:textId="3A867734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084" w:type="dxa"/>
            <w:vMerge/>
            <w:noWrap/>
            <w:hideMark/>
          </w:tcPr>
          <w:p w14:paraId="2F85B046" w14:textId="6E4E59CF" w:rsidR="00DA055C" w:rsidRPr="00F14FCB" w:rsidRDefault="00DA055C" w:rsidP="00F14F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4FCB" w:rsidRPr="00F14FCB" w14:paraId="6759E21B" w14:textId="77777777" w:rsidTr="00DA055C">
        <w:trPr>
          <w:trHeight w:val="290"/>
        </w:trPr>
        <w:tc>
          <w:tcPr>
            <w:tcW w:w="1114" w:type="dxa"/>
            <w:noWrap/>
            <w:hideMark/>
          </w:tcPr>
          <w:p w14:paraId="3A7489FC" w14:textId="77777777" w:rsidR="00F14FCB" w:rsidRPr="00F14FCB" w:rsidRDefault="00F14FCB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Maumee</w:t>
            </w:r>
          </w:p>
        </w:tc>
        <w:tc>
          <w:tcPr>
            <w:tcW w:w="1176" w:type="dxa"/>
            <w:noWrap/>
            <w:hideMark/>
          </w:tcPr>
          <w:p w14:paraId="23DE4DDC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960" w:type="dxa"/>
            <w:noWrap/>
            <w:hideMark/>
          </w:tcPr>
          <w:p w14:paraId="225DA513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133" w:type="dxa"/>
            <w:noWrap/>
            <w:hideMark/>
          </w:tcPr>
          <w:p w14:paraId="7D928D8F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A4DA7F9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084" w:type="dxa"/>
            <w:noWrap/>
            <w:hideMark/>
          </w:tcPr>
          <w:p w14:paraId="1031F392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14FCB" w:rsidRPr="00F14FCB" w14:paraId="49114AD7" w14:textId="77777777" w:rsidTr="00DA055C">
        <w:trPr>
          <w:trHeight w:val="290"/>
        </w:trPr>
        <w:tc>
          <w:tcPr>
            <w:tcW w:w="1114" w:type="dxa"/>
            <w:noWrap/>
            <w:hideMark/>
          </w:tcPr>
          <w:p w14:paraId="7E441D3E" w14:textId="77777777" w:rsidR="00F14FCB" w:rsidRPr="00F14FCB" w:rsidRDefault="00F14FCB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Tiffin</w:t>
            </w:r>
          </w:p>
        </w:tc>
        <w:tc>
          <w:tcPr>
            <w:tcW w:w="1176" w:type="dxa"/>
            <w:noWrap/>
            <w:hideMark/>
          </w:tcPr>
          <w:p w14:paraId="1622C1E5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4E753719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33" w:type="dxa"/>
            <w:noWrap/>
            <w:hideMark/>
          </w:tcPr>
          <w:p w14:paraId="01CF89CF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1E687DE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4" w:type="dxa"/>
            <w:noWrap/>
            <w:hideMark/>
          </w:tcPr>
          <w:p w14:paraId="53F715EF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14FCB" w:rsidRPr="00F14FCB" w14:paraId="30BFD086" w14:textId="77777777" w:rsidTr="00DA055C">
        <w:trPr>
          <w:trHeight w:val="290"/>
        </w:trPr>
        <w:tc>
          <w:tcPr>
            <w:tcW w:w="1114" w:type="dxa"/>
            <w:noWrap/>
            <w:hideMark/>
          </w:tcPr>
          <w:p w14:paraId="3770EBDA" w14:textId="77777777" w:rsidR="00F14FCB" w:rsidRPr="00F14FCB" w:rsidRDefault="00F14FCB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Blanchard</w:t>
            </w:r>
          </w:p>
        </w:tc>
        <w:tc>
          <w:tcPr>
            <w:tcW w:w="1176" w:type="dxa"/>
            <w:noWrap/>
            <w:hideMark/>
          </w:tcPr>
          <w:p w14:paraId="0214EA8F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77713B0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33" w:type="dxa"/>
            <w:noWrap/>
            <w:hideMark/>
          </w:tcPr>
          <w:p w14:paraId="2E3B396F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117107F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4" w:type="dxa"/>
            <w:noWrap/>
            <w:hideMark/>
          </w:tcPr>
          <w:p w14:paraId="5CE0A250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</w:tr>
      <w:tr w:rsidR="00F14FCB" w:rsidRPr="00F14FCB" w14:paraId="2F9806E8" w14:textId="77777777" w:rsidTr="00DA055C">
        <w:trPr>
          <w:trHeight w:val="290"/>
        </w:trPr>
        <w:tc>
          <w:tcPr>
            <w:tcW w:w="1114" w:type="dxa"/>
            <w:noWrap/>
            <w:hideMark/>
          </w:tcPr>
          <w:p w14:paraId="49AF6904" w14:textId="77777777" w:rsidR="00F14FCB" w:rsidRPr="00F14FCB" w:rsidRDefault="00F14FCB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Sandusky</w:t>
            </w:r>
          </w:p>
        </w:tc>
        <w:tc>
          <w:tcPr>
            <w:tcW w:w="1176" w:type="dxa"/>
            <w:noWrap/>
            <w:hideMark/>
          </w:tcPr>
          <w:p w14:paraId="695C8B1A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1E515DAF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33" w:type="dxa"/>
            <w:noWrap/>
            <w:hideMark/>
          </w:tcPr>
          <w:p w14:paraId="3283B201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0150A962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84" w:type="dxa"/>
            <w:noWrap/>
            <w:hideMark/>
          </w:tcPr>
          <w:p w14:paraId="0E7EBFFD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-18</w:t>
            </w:r>
          </w:p>
        </w:tc>
      </w:tr>
      <w:tr w:rsidR="00F14FCB" w:rsidRPr="00F14FCB" w14:paraId="089C2A3C" w14:textId="77777777" w:rsidTr="00DA055C">
        <w:trPr>
          <w:trHeight w:val="290"/>
        </w:trPr>
        <w:tc>
          <w:tcPr>
            <w:tcW w:w="1114" w:type="dxa"/>
            <w:noWrap/>
            <w:hideMark/>
          </w:tcPr>
          <w:p w14:paraId="764DC7E2" w14:textId="77777777" w:rsidR="00F14FCB" w:rsidRPr="00F14FCB" w:rsidRDefault="00F14FCB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Honey</w:t>
            </w:r>
          </w:p>
        </w:tc>
        <w:tc>
          <w:tcPr>
            <w:tcW w:w="1176" w:type="dxa"/>
            <w:noWrap/>
            <w:hideMark/>
          </w:tcPr>
          <w:p w14:paraId="20FA2A3E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833556E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3" w:type="dxa"/>
            <w:noWrap/>
            <w:hideMark/>
          </w:tcPr>
          <w:p w14:paraId="24612CB0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EFC199B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4" w:type="dxa"/>
            <w:noWrap/>
            <w:hideMark/>
          </w:tcPr>
          <w:p w14:paraId="686F1597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</w:tr>
      <w:tr w:rsidR="00F14FCB" w:rsidRPr="00F14FCB" w14:paraId="782B6C16" w14:textId="77777777" w:rsidTr="00DA055C">
        <w:trPr>
          <w:trHeight w:val="290"/>
        </w:trPr>
        <w:tc>
          <w:tcPr>
            <w:tcW w:w="1114" w:type="dxa"/>
            <w:noWrap/>
            <w:hideMark/>
          </w:tcPr>
          <w:p w14:paraId="6A0CF43F" w14:textId="77777777" w:rsidR="00F14FCB" w:rsidRPr="00F14FCB" w:rsidRDefault="00F14FCB" w:rsidP="00F14FCB">
            <w:pPr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Raisin</w:t>
            </w:r>
          </w:p>
        </w:tc>
        <w:tc>
          <w:tcPr>
            <w:tcW w:w="1176" w:type="dxa"/>
            <w:noWrap/>
            <w:hideMark/>
          </w:tcPr>
          <w:p w14:paraId="0E02F46C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22679D6A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33" w:type="dxa"/>
            <w:noWrap/>
            <w:hideMark/>
          </w:tcPr>
          <w:p w14:paraId="7C0EBE9A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5CB304A4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84" w:type="dxa"/>
            <w:noWrap/>
            <w:hideMark/>
          </w:tcPr>
          <w:p w14:paraId="5AC5FA97" w14:textId="77777777" w:rsidR="00F14FCB" w:rsidRPr="00F14FCB" w:rsidRDefault="00F14FCB" w:rsidP="00F14FCB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14FCB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</w:tbl>
    <w:p w14:paraId="298E6BD7" w14:textId="77777777" w:rsidR="00E45A3B" w:rsidRDefault="00E45A3B"/>
    <w:sectPr w:rsidR="00E4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03"/>
    <w:rsid w:val="00267648"/>
    <w:rsid w:val="00362B05"/>
    <w:rsid w:val="00411003"/>
    <w:rsid w:val="00A4577B"/>
    <w:rsid w:val="00B62BB7"/>
    <w:rsid w:val="00DA055C"/>
    <w:rsid w:val="00E45A3B"/>
    <w:rsid w:val="00F14FCB"/>
    <w:rsid w:val="00F2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6D02"/>
  <w15:chartTrackingRefBased/>
  <w15:docId w15:val="{A69242C7-91F5-46A3-A7CF-124F05C3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Kamrath, Brock</dc:creator>
  <cp:keywords/>
  <dc:description/>
  <cp:lastModifiedBy>Kamrath, Brock</cp:lastModifiedBy>
  <cp:revision>5</cp:revision>
  <dcterms:created xsi:type="dcterms:W3CDTF">2023-10-26T13:38:00Z</dcterms:created>
  <dcterms:modified xsi:type="dcterms:W3CDTF">2023-10-27T15:03:00Z</dcterms:modified>
</cp:coreProperties>
</file>