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1A72" w14:textId="1945C336" w:rsidR="00001EA6" w:rsidRDefault="00001EA6" w:rsidP="00001EA6">
      <w:pPr>
        <w:pStyle w:val="Title"/>
      </w:pPr>
      <w:r>
        <w:t xml:space="preserve">Revisiting </w:t>
      </w:r>
      <w:r w:rsidR="00D4064D">
        <w:t xml:space="preserve">phosphorus </w:t>
      </w:r>
      <w:r>
        <w:t xml:space="preserve">trends in </w:t>
      </w:r>
      <w:r w:rsidR="00D4064D">
        <w:t>the Western Lake Erie Basin</w:t>
      </w:r>
    </w:p>
    <w:p w14:paraId="0A814263" w14:textId="77777777" w:rsidR="00001EA6" w:rsidRPr="00723765" w:rsidRDefault="00001EA6" w:rsidP="00001EA6"/>
    <w:p w14:paraId="1BDC8192" w14:textId="77777777" w:rsidR="00001EA6" w:rsidRPr="00C720DA" w:rsidRDefault="00001EA6" w:rsidP="00001EA6">
      <w:pPr>
        <w:spacing w:after="120" w:line="240" w:lineRule="auto"/>
        <w:jc w:val="center"/>
        <w:rPr>
          <w:rFonts w:cs="Times New Roman"/>
          <w:sz w:val="20"/>
          <w:szCs w:val="20"/>
          <w:vertAlign w:val="superscript"/>
        </w:rPr>
      </w:pPr>
      <w:bookmarkStart w:id="0" w:name="_Hlk127450502"/>
      <w:r w:rsidRPr="00C720DA">
        <w:rPr>
          <w:rFonts w:cs="Times New Roman"/>
          <w:sz w:val="20"/>
          <w:szCs w:val="20"/>
        </w:rPr>
        <w:t xml:space="preserve">Brock </w:t>
      </w:r>
      <w:proofErr w:type="spellStart"/>
      <w:r w:rsidRPr="00C720DA">
        <w:rPr>
          <w:rFonts w:cs="Times New Roman"/>
          <w:sz w:val="20"/>
          <w:szCs w:val="20"/>
        </w:rPr>
        <w:t>Kamrath</w:t>
      </w:r>
      <w:r w:rsidRPr="00C720DA">
        <w:rPr>
          <w:rFonts w:cs="Times New Roman"/>
          <w:sz w:val="20"/>
          <w:szCs w:val="20"/>
          <w:vertAlign w:val="superscript"/>
        </w:rPr>
        <w:t>a</w:t>
      </w:r>
      <w:proofErr w:type="spellEnd"/>
      <w:r w:rsidRPr="00C720DA">
        <w:rPr>
          <w:rFonts w:cs="Times New Roman"/>
          <w:sz w:val="20"/>
          <w:szCs w:val="20"/>
        </w:rPr>
        <w:t xml:space="preserve"> and Yongping </w:t>
      </w:r>
      <w:proofErr w:type="spellStart"/>
      <w:r w:rsidRPr="00C720DA">
        <w:rPr>
          <w:rFonts w:cs="Times New Roman"/>
          <w:sz w:val="20"/>
          <w:szCs w:val="20"/>
        </w:rPr>
        <w:t>Yuan</w:t>
      </w:r>
      <w:r w:rsidRPr="00C720DA">
        <w:rPr>
          <w:rFonts w:cs="Times New Roman"/>
          <w:sz w:val="20"/>
          <w:szCs w:val="20"/>
          <w:vertAlign w:val="superscript"/>
        </w:rPr>
        <w:t>b</w:t>
      </w:r>
      <w:proofErr w:type="spellEnd"/>
      <w:r w:rsidRPr="00C720DA">
        <w:rPr>
          <w:rFonts w:cs="Times New Roman"/>
          <w:sz w:val="20"/>
          <w:szCs w:val="20"/>
          <w:vertAlign w:val="superscript"/>
        </w:rPr>
        <w:t>, *</w:t>
      </w:r>
      <w:r w:rsidRPr="00C720DA">
        <w:rPr>
          <w:rFonts w:cs="Times New Roman"/>
          <w:sz w:val="20"/>
          <w:szCs w:val="20"/>
        </w:rPr>
        <w:t xml:space="preserve"> </w:t>
      </w:r>
    </w:p>
    <w:p w14:paraId="75637AF4" w14:textId="77777777" w:rsidR="00001EA6" w:rsidRPr="00C720DA" w:rsidRDefault="00001EA6" w:rsidP="00001EA6">
      <w:pPr>
        <w:spacing w:after="120" w:line="240" w:lineRule="auto"/>
        <w:jc w:val="center"/>
        <w:rPr>
          <w:rFonts w:cs="Times New Roman"/>
          <w:sz w:val="20"/>
          <w:szCs w:val="20"/>
          <w:vertAlign w:val="superscript"/>
        </w:rPr>
      </w:pPr>
    </w:p>
    <w:p w14:paraId="0470D655" w14:textId="77777777" w:rsidR="00001EA6" w:rsidRPr="00C720DA" w:rsidRDefault="00001EA6" w:rsidP="00001EA6">
      <w:pPr>
        <w:spacing w:after="120" w:line="240" w:lineRule="auto"/>
        <w:jc w:val="center"/>
        <w:rPr>
          <w:rFonts w:cs="Times New Roman"/>
          <w:sz w:val="20"/>
          <w:szCs w:val="20"/>
          <w:vertAlign w:val="superscript"/>
        </w:rPr>
      </w:pPr>
    </w:p>
    <w:p w14:paraId="77DB3FBC" w14:textId="77777777" w:rsidR="00001EA6" w:rsidRPr="00C720DA" w:rsidRDefault="00001EA6" w:rsidP="00001EA6">
      <w:pPr>
        <w:spacing w:after="120" w:line="240" w:lineRule="auto"/>
        <w:jc w:val="center"/>
        <w:rPr>
          <w:rFonts w:cs="Times New Roman"/>
          <w:sz w:val="20"/>
          <w:szCs w:val="20"/>
        </w:rPr>
      </w:pPr>
      <w:proofErr w:type="spellStart"/>
      <w:r w:rsidRPr="00C720DA">
        <w:rPr>
          <w:rFonts w:cs="Times New Roman"/>
          <w:sz w:val="20"/>
          <w:szCs w:val="20"/>
          <w:vertAlign w:val="superscript"/>
        </w:rPr>
        <w:t>a</w:t>
      </w:r>
      <w:r w:rsidRPr="00C720DA">
        <w:rPr>
          <w:rFonts w:cs="Times New Roman"/>
          <w:sz w:val="20"/>
          <w:szCs w:val="20"/>
        </w:rPr>
        <w:t>Oak</w:t>
      </w:r>
      <w:proofErr w:type="spellEnd"/>
      <w:r w:rsidRPr="00C720DA">
        <w:rPr>
          <w:rFonts w:cs="Times New Roman"/>
          <w:sz w:val="20"/>
          <w:szCs w:val="20"/>
        </w:rPr>
        <w:t xml:space="preserve"> Ridge Institute for Science and Education (ORISE) Postdoctoral Research Participant at US Environmental Protection Agency, Office of Research and Development, Research Triangle Park, NC</w:t>
      </w:r>
    </w:p>
    <w:p w14:paraId="31290CBA" w14:textId="77777777" w:rsidR="00001EA6" w:rsidRPr="00C720DA" w:rsidRDefault="00001EA6" w:rsidP="00001EA6">
      <w:pPr>
        <w:spacing w:after="120" w:line="240" w:lineRule="auto"/>
        <w:jc w:val="center"/>
        <w:rPr>
          <w:rFonts w:cs="Times New Roman"/>
          <w:sz w:val="20"/>
          <w:szCs w:val="20"/>
        </w:rPr>
      </w:pPr>
      <w:proofErr w:type="spellStart"/>
      <w:r w:rsidRPr="00C720DA">
        <w:rPr>
          <w:rFonts w:cs="Times New Roman"/>
          <w:sz w:val="20"/>
          <w:szCs w:val="20"/>
          <w:vertAlign w:val="superscript"/>
        </w:rPr>
        <w:t>b</w:t>
      </w:r>
      <w:r w:rsidRPr="00C720DA">
        <w:rPr>
          <w:rFonts w:cs="Times New Roman"/>
          <w:sz w:val="20"/>
          <w:szCs w:val="20"/>
        </w:rPr>
        <w:t>US</w:t>
      </w:r>
      <w:proofErr w:type="spellEnd"/>
      <w:r w:rsidRPr="00C720DA">
        <w:rPr>
          <w:rFonts w:cs="Times New Roman"/>
          <w:sz w:val="20"/>
          <w:szCs w:val="20"/>
        </w:rPr>
        <w:t xml:space="preserve"> Environmental Protection Agency, Office of Research and Development, Research Triangle Park, NC</w:t>
      </w:r>
    </w:p>
    <w:p w14:paraId="0EDA181C" w14:textId="77777777" w:rsidR="00001EA6" w:rsidRPr="00C720DA" w:rsidRDefault="00001EA6" w:rsidP="00001EA6">
      <w:pPr>
        <w:spacing w:after="120" w:line="240" w:lineRule="auto"/>
        <w:jc w:val="center"/>
        <w:rPr>
          <w:rFonts w:cs="Times New Roman"/>
          <w:sz w:val="20"/>
          <w:szCs w:val="20"/>
        </w:rPr>
      </w:pPr>
    </w:p>
    <w:p w14:paraId="5FDBAA29" w14:textId="77777777" w:rsidR="00001EA6" w:rsidRPr="00C720DA" w:rsidRDefault="00001EA6" w:rsidP="00001EA6">
      <w:pPr>
        <w:rPr>
          <w:rFonts w:cs="Times New Roman"/>
          <w:noProof/>
          <w:sz w:val="20"/>
          <w:szCs w:val="20"/>
        </w:rPr>
      </w:pPr>
      <w:r w:rsidRPr="00C720DA">
        <w:rPr>
          <w:rFonts w:cs="Times New Roman"/>
          <w:noProof/>
          <w:sz w:val="20"/>
          <w:szCs w:val="20"/>
          <w:vertAlign w:val="superscript"/>
        </w:rPr>
        <w:t>*</w:t>
      </w:r>
      <w:r w:rsidRPr="00C720DA">
        <w:rPr>
          <w:rFonts w:cs="Times New Roman"/>
          <w:noProof/>
          <w:sz w:val="20"/>
          <w:szCs w:val="20"/>
        </w:rPr>
        <w:t>Corresponding author: Yongping Yuan, yuan.yongping@epa.gov, 109 T.W. Alexander Dr. RTP, NC 27711</w:t>
      </w:r>
    </w:p>
    <w:bookmarkEnd w:id="0"/>
    <w:p w14:paraId="091BC562" w14:textId="77777777" w:rsidR="00001EA6" w:rsidRPr="00723765" w:rsidRDefault="00001EA6" w:rsidP="00001EA6"/>
    <w:p w14:paraId="096FF5F4" w14:textId="77777777" w:rsidR="00001EA6" w:rsidRDefault="00001EA6" w:rsidP="00BB60DF">
      <w:pPr>
        <w:pStyle w:val="Heading1"/>
        <w:numPr>
          <w:ilvl w:val="0"/>
          <w:numId w:val="0"/>
        </w:numPr>
        <w:ind w:left="432" w:hanging="432"/>
      </w:pPr>
      <w:r>
        <w:t>Abstract</w:t>
      </w:r>
    </w:p>
    <w:p w14:paraId="6B35B077" w14:textId="01EF3231" w:rsidR="006028A4" w:rsidRDefault="001C2248" w:rsidP="001C2248">
      <w:r>
        <w:t>Research Objective:</w:t>
      </w:r>
    </w:p>
    <w:p w14:paraId="59C91F7A" w14:textId="5975CD6E" w:rsidR="001C2248" w:rsidRDefault="001C2248" w:rsidP="001C2248">
      <w:pPr>
        <w:pStyle w:val="ListParagraph"/>
        <w:numPr>
          <w:ilvl w:val="0"/>
          <w:numId w:val="2"/>
        </w:numPr>
      </w:pPr>
      <w:r>
        <w:t>Have the recent regulations and TMDL reduce P losses in the Western Lake Erie Basin</w:t>
      </w:r>
    </w:p>
    <w:p w14:paraId="409407EA" w14:textId="21B9D797" w:rsidR="001C2248" w:rsidRDefault="001C2248" w:rsidP="001C2248">
      <w:pPr>
        <w:pStyle w:val="ListParagraph"/>
        <w:numPr>
          <w:ilvl w:val="0"/>
          <w:numId w:val="2"/>
        </w:numPr>
      </w:pPr>
      <w:r>
        <w:t xml:space="preserve">We analyzed Blanchard, Honey, Maumee, Portage, Sandusky, and Tiffin within the basin and subject to </w:t>
      </w:r>
      <w:r w:rsidR="00001EA6">
        <w:t>Ohio</w:t>
      </w:r>
      <w:r>
        <w:t xml:space="preserve"> </w:t>
      </w:r>
      <w:r w:rsidR="002E206E">
        <w:t>laws.</w:t>
      </w:r>
    </w:p>
    <w:p w14:paraId="5A65FC7F" w14:textId="04B6F80E" w:rsidR="001C2248" w:rsidRDefault="001C2248" w:rsidP="001C2248">
      <w:pPr>
        <w:pStyle w:val="ListParagraph"/>
        <w:numPr>
          <w:ilvl w:val="1"/>
          <w:numId w:val="2"/>
        </w:numPr>
      </w:pPr>
      <w:r>
        <w:t>As references we used raisin (a watershed in the basin but located in Michigan</w:t>
      </w:r>
      <w:r w:rsidR="00AE17A6">
        <w:t>)</w:t>
      </w:r>
    </w:p>
    <w:p w14:paraId="5D6085AF" w14:textId="1B9DA0BD" w:rsidR="00D4064D" w:rsidRDefault="00D4064D" w:rsidP="00BB60DF">
      <w:pPr>
        <w:pStyle w:val="Heading1"/>
      </w:pPr>
      <w:r>
        <w:t>Introduction</w:t>
      </w:r>
    </w:p>
    <w:p w14:paraId="65994651" w14:textId="3BB694D4" w:rsidR="00954666" w:rsidRDefault="00954666" w:rsidP="00954666">
      <w:pPr>
        <w:ind w:firstLine="432"/>
      </w:pPr>
      <w:r>
        <w:t>I</w:t>
      </w:r>
      <w:r w:rsidR="00C5674C">
        <w:t>n</w:t>
      </w:r>
      <w:r w:rsidR="009F5F35">
        <w:t>creasing soluble reactive phosphorus (SRP) loads from major river tributaries (e.g., Maumee and Sandusky)</w:t>
      </w:r>
      <w:r>
        <w:t xml:space="preserve"> have been observed in the western Lake Erie basin since the mid-1990s</w:t>
      </w:r>
      <w:r w:rsidR="009F5F35">
        <w:t xml:space="preserve"> </w:t>
      </w:r>
      <w:r>
        <w:fldChar w:fldCharType="begin">
          <w:fldData xml:space="preserve">PEVuZE5vdGU+PENpdGU+PEF1dGhvcj5KYXJ2aWU8L0F1dGhvcj48WWVhcj4yMDE3PC9ZZWFyPjxS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</w:fldData>
        </w:fldChar>
      </w:r>
      <w:r>
        <w:instrText xml:space="preserve"> ADDIN EN.CITE </w:instrText>
      </w:r>
      <w:r>
        <w:fldChar w:fldCharType="begin">
          <w:fldData xml:space="preserve">PEVuZE5vdGU+PENpdGU+PEF1dGhvcj5KYXJ2aWU8L0F1dGhvcj48WWVhcj4yMDE3PC9ZZWFyPjxS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</w:fldData>
        </w:fldChar>
      </w:r>
      <w:r>
        <w:instrText xml:space="preserve"> ADDIN EN.CITE.DATA </w:instrText>
      </w:r>
      <w:r>
        <w:fldChar w:fldCharType="end"/>
      </w:r>
      <w:r>
        <w:fldChar w:fldCharType="separate"/>
      </w:r>
      <w:r>
        <w:rPr>
          <w:noProof/>
        </w:rPr>
        <w:t>(Jarvie et al., 2017; Michalak et al., 2013; Smith, King, &amp; Williams, 2015)</w:t>
      </w:r>
      <w:r>
        <w:fldChar w:fldCharType="end"/>
      </w:r>
      <w:r>
        <w:t xml:space="preserve">. </w:t>
      </w:r>
      <w:r w:rsidR="003546F8">
        <w:fldChar w:fldCharType="begin"/>
      </w:r>
      <w:r w:rsidR="003546F8">
        <w:instrText xml:space="preserve"> ADDIN EN.CITE &lt;EndNote&gt;&lt;Cite AuthorYear="1"&gt;&lt;Author&gt;Jarvie&lt;/Author&gt;&lt;Year&gt;2017&lt;/Year&gt;&lt;RecNum&gt;16860&lt;/RecNum&gt;&lt;DisplayText&gt;Jarvie et al. (2017)&lt;/DisplayText&gt;&lt;record&gt;&lt;rec-number&gt;16860&lt;/rec-number&gt;&lt;foreign-keys&gt;&lt;key app="EN" db-id="vxf5p2xpuads9deaf5xvd2ri20s0at2spve5" timestamp="1667940311"&gt;16860&lt;/key&gt;&lt;/foreign-keys&gt;&lt;ref-type name="Journal Article"&gt;17&lt;/ref-type&gt;&lt;contributors&gt;&lt;authors&gt;&lt;author&gt;Jarvie, H. P.&lt;/author&gt;&lt;author&gt;Johnson, L. T.&lt;/author&gt;&lt;author&gt;Sharpley, A. N.&lt;/author&gt;&lt;author&gt;Smith, D. R.&lt;/author&gt;&lt;author&gt;Baker, D. B.&lt;/author&gt;&lt;author&gt;Bruulsema, T. W.&lt;/author&gt;&lt;author&gt;Confesor, R.&lt;/author&gt;&lt;/authors&gt;&lt;/contributors&gt;&lt;titles&gt;&lt;title&gt;Increased Soluble Phosphorus Loads to Lake Erie: Unintended Consequences of Conservation Practices?&lt;/title&gt;&lt;secondary-title&gt;J Environ Qual&lt;/secondary-title&gt;&lt;/titles&gt;&lt;periodical&gt;&lt;full-title&gt;J Environ Qual&lt;/full-title&gt;&lt;/periodical&gt;&lt;pages&gt;123-132&lt;/pages&gt;&lt;volume&gt;46&lt;/volume&gt;&lt;number&gt;1&lt;/number&gt;&lt;edition&gt;2017/02/09&lt;/edition&gt;&lt;keywords&gt;&lt;keyword&gt;*Agriculture&lt;/keyword&gt;&lt;keyword&gt;*Conservation of Natural Resources&lt;/keyword&gt;&lt;keyword&gt;*Environmental Monitoring&lt;/keyword&gt;&lt;keyword&gt;Great Lakes Region&lt;/keyword&gt;&lt;keyword&gt;Lakes&lt;/keyword&gt;&lt;keyword&gt;Phosphorus/*analysis&lt;/keyword&gt;&lt;keyword&gt;Rivers&lt;/keyword&gt;&lt;/keywords&gt;&lt;dates&gt;&lt;year&gt;2017&lt;/year&gt;&lt;pub-dates&gt;&lt;date&gt;Jan&lt;/date&gt;&lt;/pub-dates&gt;&lt;/dates&gt;&lt;publisher&gt;John Wiley &amp;amp; Sons, Ltd&lt;/publisher&gt;&lt;isbn&gt;0047-2425 (Print)&amp;#xD;0047-2425 (Linking)&lt;/isbn&gt;&lt;accession-num&gt;28177409&lt;/accession-num&gt;&lt;work-type&gt;https://doi.org/10.2134/jeq2016.07.0248&lt;/work-type&gt;&lt;urls&gt;&lt;related-urls&gt;&lt;url&gt;https://www.ncbi.nlm.nih.gov/pubmed/28177409&lt;/url&gt;&lt;/related-urls&gt;&lt;/urls&gt;&lt;electronic-resource-num&gt;10.2134/jeq2016.07.0248&lt;/electronic-resource-num&gt;&lt;access-date&gt;2022/11/08&lt;/access-date&gt;&lt;/record&gt;&lt;/Cite&gt;&lt;/EndNote&gt;</w:instrText>
      </w:r>
      <w:r w:rsidR="003546F8">
        <w:fldChar w:fldCharType="separate"/>
      </w:r>
      <w:r w:rsidR="003546F8">
        <w:rPr>
          <w:noProof/>
        </w:rPr>
        <w:t>Jarvie et al. (2017)</w:t>
      </w:r>
      <w:r w:rsidR="003546F8">
        <w:fldChar w:fldCharType="end"/>
      </w:r>
      <w:r w:rsidR="003546F8">
        <w:t xml:space="preserve"> found a substantial increase in SRP loads from the Sandusky, Raisin, and Maumee Rivers from 2003 to 2014. </w:t>
      </w:r>
    </w:p>
    <w:p w14:paraId="0925E8D3" w14:textId="442B8EC8" w:rsidR="00954666" w:rsidRDefault="00954666" w:rsidP="009F5F35">
      <w:pPr>
        <w:ind w:firstLine="432"/>
      </w:pPr>
    </w:p>
    <w:p w14:paraId="66718C1B" w14:textId="0C9603BD" w:rsidR="009F5F35" w:rsidRDefault="009F5F35" w:rsidP="00954666">
      <w:pPr>
        <w:ind w:firstLine="432"/>
      </w:pPr>
      <w:r>
        <w:lastRenderedPageBreak/>
        <w:t xml:space="preserve">have been identified as the cause </w:t>
      </w:r>
      <w:proofErr w:type="gramStart"/>
      <w:r>
        <w:t>of  the</w:t>
      </w:r>
      <w:proofErr w:type="gramEnd"/>
      <w:r>
        <w:t xml:space="preserve"> re-eutrophication of the basin Contextualize this increase</w:t>
      </w:r>
    </w:p>
    <w:p w14:paraId="70651055" w14:textId="265C18D7" w:rsidR="00C5674C" w:rsidRDefault="009F5F35" w:rsidP="009F5F35">
      <w:pPr>
        <w:ind w:firstLine="432"/>
      </w:pPr>
      <w:r>
        <w:t>This re-eutrophication has led to pervasive h</w:t>
      </w:r>
      <w:r w:rsidR="00173DE2">
        <w:t xml:space="preserve">armful </w:t>
      </w:r>
      <w:r>
        <w:t xml:space="preserve">and nuisance </w:t>
      </w:r>
      <w:r w:rsidR="00173DE2">
        <w:t>algal blooms</w:t>
      </w:r>
      <w:r>
        <w:t xml:space="preserve"> (HNABs)</w:t>
      </w:r>
      <w:r w:rsidR="00173DE2">
        <w:t xml:space="preserve"> </w:t>
      </w:r>
      <w:r>
        <w:t xml:space="preserve">in the WLEB, including the HNAB in August of 2014 that lead to the 400,000 Ohio residents unable to drink or use their tap </w:t>
      </w:r>
      <w:r w:rsidR="00173DE2">
        <w:t>water</w:t>
      </w:r>
      <w:r>
        <w:t xml:space="preserve"> due to the presence of the microcystin toxin </w:t>
      </w:r>
      <w:r>
        <w:fldChar w:fldCharType="begin"/>
      </w:r>
      <w:r w:rsidR="00954666">
        <w:instrText xml:space="preserve"> ADDIN EN.CITE &lt;EndNote&gt;&lt;Cite&gt;&lt;Author&gt;Smith&lt;/Author&gt;&lt;Year&gt;2015&lt;/Year&gt;&lt;RecNum&gt;16888&lt;/RecNum&gt;&lt;DisplayText&gt;(Smith et al., 2015)&lt;/DisplayText&gt;&lt;record&gt;&lt;rec-number&gt;16888&lt;/rec-number&gt;&lt;foreign-keys&gt;&lt;key app="EN" db-id="vxf5p2xpuads9deaf5xvd2ri20s0at2spve5" timestamp="1672849363"&gt;16888&lt;/key&gt;&lt;/foreign-keys&gt;&lt;ref-type name="Journal Article"&gt;17&lt;/ref-type&gt;&lt;contributors&gt;&lt;authors&gt;&lt;author&gt;Smith, Douglas R.&lt;/author&gt;&lt;author&gt;King, Kevin W.&lt;/author&gt;&lt;author&gt;Williams, Mark R.&lt;/author&gt;&lt;/authors&gt;&lt;/contributors&gt;&lt;titles&gt;&lt;title&gt;What is causing the harmful algal blooms in Lake Erie?&lt;/title&gt;&lt;secondary-title&gt;Journal of Soil and Water Conservation&lt;/secondary-title&gt;&lt;/titles&gt;&lt;periodical&gt;&lt;full-title&gt;Journal of Soil and Water Conservation&lt;/full-title&gt;&lt;/periodical&gt;&lt;pages&gt;27A-29A&lt;/pages&gt;&lt;volume&gt;70&lt;/volume&gt;&lt;number&gt;2&lt;/number&gt;&lt;dates&gt;&lt;year&gt;2015&lt;/year&gt;&lt;/dates&gt;&lt;urls&gt;&lt;related-urls&gt;&lt;url&gt;https://www.jswconline.org/content/jswc/70/2/27A.full.pdf&lt;/url&gt;&lt;/related-urls&gt;&lt;/urls&gt;&lt;electronic-resource-num&gt;10.2489/jswc.70.2.27A&lt;/electronic-resource-num&gt;&lt;/record&gt;&lt;/Cite&gt;&lt;/EndNote&gt;</w:instrText>
      </w:r>
      <w:r>
        <w:fldChar w:fldCharType="separate"/>
      </w:r>
      <w:r w:rsidR="00954666">
        <w:rPr>
          <w:noProof/>
        </w:rPr>
        <w:t>(Smith et al., 2015)</w:t>
      </w:r>
      <w:r>
        <w:fldChar w:fldCharType="end"/>
      </w:r>
      <w:r w:rsidR="00173DE2">
        <w:t xml:space="preserve">. </w:t>
      </w:r>
    </w:p>
    <w:p w14:paraId="092C308E" w14:textId="4BB75807" w:rsidR="00173DE2" w:rsidRPr="00173DE2" w:rsidRDefault="00173DE2" w:rsidP="00173DE2">
      <w:r>
        <w:t xml:space="preserve">To </w:t>
      </w:r>
      <w:r w:rsidR="00C5674C">
        <w:t xml:space="preserve">restore and protect the water quality of the Great Lakes, which includes Lake Erie, the United States and Canada committed to an updated Great Lakes Water Quality Agreement in 2012 </w:t>
      </w:r>
      <w:r w:rsidR="00C5674C">
        <w:fldChar w:fldCharType="begin"/>
      </w:r>
      <w:r w:rsidR="00C5674C">
        <w:instrText xml:space="preserve"> ADDIN EN.CITE &lt;EndNote&gt;&lt;Cite&gt;&lt;Author&gt;GLWQA&lt;/Author&gt;&lt;Year&gt;2012&lt;/Year&gt;&lt;RecNum&gt;16909&lt;/RecNum&gt;&lt;DisplayText&gt;(GLWQA, 2012)&lt;/DisplayText&gt;&lt;record&gt;&lt;rec-number&gt;16909&lt;/rec-number&gt;&lt;foreign-keys&gt;&lt;key app="EN" db-id="vxf5p2xpuads9deaf5xvd2ri20s0at2spve5" timestamp="1672849364"&gt;16909&lt;/key&gt;&lt;/foreign-keys&gt;&lt;ref-type name="Book"&gt;6&lt;/ref-type&gt;&lt;contributors&gt;&lt;authors&gt;&lt;author&gt;GLWQA&lt;/author&gt;&lt;/authors&gt;&lt;/contributors&gt;&lt;titles&gt;&lt;title&gt;The Great Lakes Water Quality Protocol 2012&lt;/title&gt;&lt;/titles&gt;&lt;pages&gt;42-50&lt;/pages&gt;&lt;section&gt;Annex 4. Nutrients&lt;/section&gt;&lt;dates&gt;&lt;year&gt;2012&lt;/year&gt;&lt;/dates&gt;&lt;urls&gt;&lt;/urls&gt;&lt;/record&gt;&lt;/Cite&gt;&lt;/EndNote&gt;</w:instrText>
      </w:r>
      <w:r w:rsidR="00C5674C">
        <w:fldChar w:fldCharType="separate"/>
      </w:r>
      <w:r w:rsidR="00C5674C">
        <w:rPr>
          <w:noProof/>
        </w:rPr>
        <w:t>(GLWQA, 2012)</w:t>
      </w:r>
      <w:r w:rsidR="00C5674C">
        <w:fldChar w:fldCharType="end"/>
      </w:r>
      <w:r w:rsidR="00C5674C">
        <w:t xml:space="preserve">.  </w:t>
      </w:r>
      <w:r>
        <w:t xml:space="preserve">The western lake erie basin (WLEB) has been designated as a </w:t>
      </w:r>
    </w:p>
    <w:p w14:paraId="76F34DB9" w14:textId="440A76A0" w:rsidR="00D4064D" w:rsidRDefault="006E2C1C" w:rsidP="006E2C1C">
      <w:pPr>
        <w:pStyle w:val="Heading2"/>
      </w:pPr>
      <w:r>
        <w:t>Study Objectives</w:t>
      </w:r>
    </w:p>
    <w:p w14:paraId="042E727A" w14:textId="35938F1F" w:rsidR="006E2C1C" w:rsidRPr="006E2C1C" w:rsidRDefault="006E2C1C" w:rsidP="006E2C1C">
      <w:pPr>
        <w:ind w:left="432"/>
      </w:pPr>
      <w:r>
        <w:t xml:space="preserve">This study can be portioned into 3 distinct objectives: 1) assess the P trends across the basin since the GLWQA was agree upon in 2008, 2) investigate recent trends for changes in response to nutrient management rules and regulations, 3) contextualize changes in P trends with respect to flow conditions and season. </w:t>
      </w:r>
    </w:p>
    <w:p w14:paraId="31AF2FD2" w14:textId="245EA158" w:rsidR="00B40330" w:rsidRDefault="00B40330" w:rsidP="00B40330">
      <w:pPr>
        <w:pStyle w:val="Heading1"/>
      </w:pPr>
      <w:r>
        <w:t>Methods and Materials</w:t>
      </w:r>
    </w:p>
    <w:p w14:paraId="71140892" w14:textId="13A9B3C0" w:rsidR="00B40330" w:rsidRDefault="00B40330" w:rsidP="00BB60DF">
      <w:pPr>
        <w:pStyle w:val="Heading2"/>
      </w:pPr>
      <w:r>
        <w:t>Site Selection</w:t>
      </w:r>
    </w:p>
    <w:p w14:paraId="603604A2" w14:textId="31ACD5F2" w:rsidR="00001EA6" w:rsidRDefault="00020458" w:rsidP="00020458">
      <w:pPr>
        <w:ind w:firstLine="720"/>
      </w:pPr>
      <w:r>
        <w:t>To understand changing phosphorus trends in the basin, the w</w:t>
      </w:r>
      <w:r w:rsidRPr="003C6EFE">
        <w:t>eighted regression on time, discharge, and season (WRTDS)</w:t>
      </w:r>
      <w:r>
        <w:t xml:space="preserve"> model within the EGRET package in R was used to characterize SRP and TP trends in 7 watersheds from 2008 to 2022 (Table 1). WY 2008 was chosen as the starting point because it has been previously set as the baseline year for phosphorus reduction targets in Lake Erie </w:t>
      </w:r>
      <w:r>
        <w:fldChar w:fldCharType="begin"/>
      </w:r>
      <w:r>
        <w:instrText xml:space="preserve"> ADDIN EN.CITE &lt;EndNote&gt;&lt;Cite&gt;&lt;Author&gt;Annex 4&lt;/Author&gt;&lt;Year&gt;2015&lt;/Year&gt;&lt;RecNum&gt;16934&lt;/RecNum&gt;&lt;DisplayText&gt;(Annex 4, 2015)&lt;/DisplayText&gt;&lt;record&gt;&lt;rec-number&gt;16934&lt;/rec-number&gt;&lt;foreign-keys&gt;&lt;key app="EN" db-id="vxf5p2xpuads9deaf5xvd2ri20s0at2spve5" timestamp="1674831871"&gt;16934&lt;/key&gt;&lt;/foreign-keys&gt;&lt;ref-type name="Government Document"&gt;46&lt;/ref-type&gt;&lt;contributors&gt;&lt;authors&gt;&lt;author&gt;Annex 4,&lt;/author&gt;&lt;/authors&gt;&lt;/contributors&gt;&lt;titles&gt;&lt;title&gt;Recommended phosphorus loading targets for Lake Erie. Annex 4 Objectives and Targets Task Team Final Report to the Nutrients Annex Subcommittee&lt;/title&gt;&lt;/titles&gt;&lt;dates&gt;&lt;year&gt;2015&lt;/year&gt;&lt;/dates&gt;&lt;urls&gt;&lt;/urls&gt;&lt;/record&gt;&lt;/Cite&gt;&lt;/EndNote&gt;</w:instrText>
      </w:r>
      <w:r>
        <w:fldChar w:fldCharType="separate"/>
      </w:r>
      <w:r>
        <w:rPr>
          <w:noProof/>
        </w:rPr>
        <w:t>(Annex 4, 2015)</w:t>
      </w:r>
      <w:r>
        <w:fldChar w:fldCharType="end"/>
      </w:r>
      <w:r>
        <w:t>. The starting year varied at</w:t>
      </w:r>
      <w:r w:rsidR="00A45C64">
        <w:t xml:space="preserve"> the Portage</w:t>
      </w:r>
      <w:r>
        <w:t xml:space="preserve"> site due to a lack of data (Table 1). </w:t>
      </w:r>
      <w:r w:rsidR="0071425D">
        <w:t>These sites were predominately chosen due to the availability of long-</w:t>
      </w:r>
      <w:r w:rsidR="0071425D">
        <w:lastRenderedPageBreak/>
        <w:t xml:space="preserve">term data within the Nation Center for Water Quality Research (NCWQR) at Heidelberg University database </w:t>
      </w:r>
      <w:r w:rsidR="0071425D">
        <w:fldChar w:fldCharType="begin"/>
      </w:r>
      <w:r w:rsidR="002A2836">
        <w:instrText xml:space="preserve"> ADDIN EN.CITE &lt;EndNote&gt;&lt;Cite&gt;&lt;Author&gt;NCWQR&lt;/Author&gt;&lt;Year&gt;2022&lt;/Year&gt;&lt;RecNum&gt;16924&lt;/RecNum&gt;&lt;DisplayText&gt;(NCWQR, 2022)&lt;/DisplayText&gt;&lt;record&gt;&lt;rec-number&gt;16924&lt;/rec-number&gt;&lt;foreign-keys&gt;&lt;key app="EN" db-id="vxf5p2xpuads9deaf5xvd2ri20s0at2spve5" timestamp="1672852138"&gt;16924&lt;/key&gt;&lt;/foreign-keys&gt;&lt;ref-type name="Dataset"&gt;59&lt;/ref-type&gt;&lt;contributors&gt;&lt;authors&gt;&lt;author&gt;NCWQR&lt;/author&gt;&lt;/authors&gt;&lt;/contributors&gt;&lt;titles&gt;&lt;title&gt;Heidelberg Tributary Loading Program (HTLP) Dataset&lt;/title&gt;&lt;/titles&gt;&lt;edition&gt;20220330&lt;/edition&gt;&lt;dates&gt;&lt;year&gt;2022&lt;/year&gt;&lt;/dates&gt;&lt;pub-location&gt;Zenodo&lt;/pub-location&gt;&lt;urls&gt;&lt;related-urls&gt;&lt;url&gt;https://doi.org/10.5281/zenodo.6606950&lt;/url&gt;&lt;/related-urls&gt;&lt;/urls&gt;&lt;electronic-resource-num&gt;10.5281/zenodo.6606950&lt;/electronic-resource-num&gt;&lt;/record&gt;&lt;/Cite&gt;&lt;/EndNote&gt;</w:instrText>
      </w:r>
      <w:r w:rsidR="0071425D">
        <w:fldChar w:fldCharType="separate"/>
      </w:r>
      <w:r w:rsidR="002A2836">
        <w:rPr>
          <w:noProof/>
        </w:rPr>
        <w:t>(NCWQR, 2022)</w:t>
      </w:r>
      <w:r w:rsidR="0071425D">
        <w:fldChar w:fldCharType="end"/>
      </w:r>
      <w:r w:rsidR="0071425D">
        <w:t xml:space="preserve">. Remaining stations were excluded based on an insufficient period of water quality data, high percentage of urban or the potential for high flashiness (i.e., Richards-Baker Index), which would render them incompatible with the load estimation method used herein. </w:t>
      </w:r>
      <w:r w:rsidR="00D4064D">
        <w:t xml:space="preserve">These watersheds ranged from </w:t>
      </w:r>
      <w:r w:rsidR="00D4064D" w:rsidRPr="0071425D">
        <w:rPr>
          <w:highlight w:val="yellow"/>
        </w:rPr>
        <w:t xml:space="preserve">X to </w:t>
      </w:r>
      <w:proofErr w:type="gramStart"/>
      <w:r w:rsidR="00D4064D" w:rsidRPr="0071425D">
        <w:rPr>
          <w:highlight w:val="yellow"/>
        </w:rPr>
        <w:t>Y</w:t>
      </w:r>
      <w:r w:rsidR="00D4064D">
        <w:t>, and</w:t>
      </w:r>
      <w:proofErr w:type="gramEnd"/>
      <w:r w:rsidR="00D4064D">
        <w:t xml:space="preserve"> were predominately agricultural. Due to the highly agricultural nature of the watersheds, n</w:t>
      </w:r>
      <w:r w:rsidR="00001EA6" w:rsidRPr="003C6EFE">
        <w:t>utrient application is likely the core contributor of P</w:t>
      </w:r>
      <w:r w:rsidR="00001EA6">
        <w:t xml:space="preserve"> </w:t>
      </w:r>
      <w:r w:rsidR="00001EA6">
        <w:fldChar w:fldCharType="begin">
          <w:fldData xml:space="preserve">PEVuZE5vdGU+PENpdGU+PEF1dGhvcj5LYXN0PC9BdXRob3I+PFllYXI+MjAyMTwvWWVhcj48UmVj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</w:fldData>
        </w:fldChar>
      </w:r>
      <w:r w:rsidR="00001EA6">
        <w:instrText xml:space="preserve"> ADDIN EN.CITE </w:instrText>
      </w:r>
      <w:r w:rsidR="00001EA6">
        <w:fldChar w:fldCharType="begin">
          <w:fldData xml:space="preserve">PEVuZE5vdGU+PENpdGU+PEF1dGhvcj5LYXN0PC9BdXRob3I+PFllYXI+MjAyMTwvWWVhcj48UmVj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</w:fldData>
        </w:fldChar>
      </w:r>
      <w:r w:rsidR="00001EA6">
        <w:instrText xml:space="preserve"> ADDIN EN.CITE.DATA </w:instrText>
      </w:r>
      <w:r w:rsidR="00001EA6">
        <w:fldChar w:fldCharType="end"/>
      </w:r>
      <w:r w:rsidR="00001EA6">
        <w:fldChar w:fldCharType="separate"/>
      </w:r>
      <w:r w:rsidR="00001EA6">
        <w:rPr>
          <w:noProof/>
        </w:rPr>
        <w:t>(Kast et al., 2021)</w:t>
      </w:r>
      <w:r w:rsidR="00001EA6">
        <w:fldChar w:fldCharType="end"/>
      </w:r>
      <w:r w:rsidR="00001EA6">
        <w:t>.</w:t>
      </w:r>
      <w:r w:rsidR="00001EA6" w:rsidRPr="003C6EFE">
        <w:t xml:space="preserve"> </w:t>
      </w:r>
    </w:p>
    <w:p w14:paraId="19CA1076" w14:textId="1A4D3DE0" w:rsidR="00001EA6" w:rsidRDefault="0071425D" w:rsidP="00DF2E13">
      <w:pPr>
        <w:ind w:firstLine="720"/>
      </w:pPr>
      <w:r>
        <w:t xml:space="preserve">At each site, </w:t>
      </w:r>
      <w:r w:rsidR="002A2836">
        <w:t>we examined recent and long-term trends in soluble reactive phosphorus (</w:t>
      </w:r>
      <w:r w:rsidR="002A2836" w:rsidRPr="003C6EFE">
        <w:t>SRP</w:t>
      </w:r>
      <w:r w:rsidR="002A2836">
        <w:t>)</w:t>
      </w:r>
      <w:r w:rsidR="002A2836" w:rsidRPr="003C6EFE">
        <w:t xml:space="preserve"> and</w:t>
      </w:r>
      <w:r w:rsidR="002A2836">
        <w:t xml:space="preserve"> total phosphorus</w:t>
      </w:r>
      <w:r w:rsidR="002A2836" w:rsidRPr="003C6EFE">
        <w:t xml:space="preserve"> </w:t>
      </w:r>
      <w:r w:rsidR="002A2836">
        <w:t>(</w:t>
      </w:r>
      <w:r w:rsidR="002A2836" w:rsidRPr="003C6EFE">
        <w:t>TP</w:t>
      </w:r>
      <w:r w:rsidR="002A2836">
        <w:t>)</w:t>
      </w:r>
      <w:r w:rsidR="002A2836" w:rsidRPr="003C6EFE">
        <w:t xml:space="preserve"> </w:t>
      </w:r>
      <w:r w:rsidR="002A2836">
        <w:t>concentrations. T</w:t>
      </w:r>
      <w:r>
        <w:t xml:space="preserve">he </w:t>
      </w:r>
      <w:r w:rsidR="00001EA6" w:rsidRPr="003C6EFE">
        <w:t>NCWQR</w:t>
      </w:r>
      <w:r w:rsidR="002A2836">
        <w:t xml:space="preserve"> has monitored</w:t>
      </w:r>
      <w:r w:rsidR="00001EA6" w:rsidRPr="003C6EFE">
        <w:t xml:space="preserve"> nutrient concentrations </w:t>
      </w:r>
      <w:r w:rsidR="002A2836">
        <w:t xml:space="preserve">in northwest Ohio by </w:t>
      </w:r>
      <w:r w:rsidR="00001EA6" w:rsidRPr="003C6EFE">
        <w:t xml:space="preserve">collecting and analyzing water quality samples near the </w:t>
      </w:r>
      <w:r w:rsidR="00001EA6">
        <w:t xml:space="preserve">nearby </w:t>
      </w:r>
      <w:r w:rsidR="00001EA6" w:rsidRPr="003C6EFE">
        <w:t>USGS station</w:t>
      </w:r>
      <w:r w:rsidR="00001EA6">
        <w:t>s</w:t>
      </w:r>
      <w:r w:rsidR="002A2836">
        <w:t xml:space="preserve"> using procedures and analytical methods described in </w:t>
      </w:r>
      <w:r w:rsidR="002A2836">
        <w:fldChar w:fldCharType="begin"/>
      </w:r>
      <w:r w:rsidR="002A2836">
        <w:instrText xml:space="preserve"> ADDIN EN.CITE &lt;EndNote&gt;&lt;Cite&gt;&lt;Author&gt;Baker&lt;/Author&gt;&lt;Year&gt;2014&lt;/Year&gt;&lt;RecNum&gt;16872&lt;/RecNum&gt;&lt;DisplayText&gt;(Baker et al., 2014)&lt;/DisplayText&gt;&lt;record&gt;&lt;rec-number&gt;16872&lt;/rec-number&gt;&lt;foreign-keys&gt;&lt;key app="EN" db-id="vxf5p2xpuads9deaf5xvd2ri20s0at2spve5" timestamp="1671660393"&gt;16872&lt;/key&gt;&lt;/foreign-keys&gt;&lt;ref-type name="Journal Article"&gt;17&lt;/ref-type&gt;&lt;contributors&gt;&lt;authors&gt;&lt;author&gt;Baker, D. B.&lt;/author&gt;&lt;author&gt;Confesor, R.&lt;/author&gt;&lt;author&gt;Ewing, D. E.&lt;/author&gt;&lt;author&gt;Johnson, L. T.&lt;/author&gt;&lt;author&gt;Kramer, J. W.&lt;/author&gt;&lt;author&gt;Merryfield, B. J.&lt;/author&gt;&lt;/authors&gt;&lt;/contributors&gt;&lt;titles&gt;&lt;title&gt;Phosphorus loading to Lake Erie from the Maumee, Sandusky and Cuyahoga rivers: The importance of bioavailability&lt;/title&gt;&lt;secondary-title&gt;Journal of Great Lakes Research&lt;/secondary-title&gt;&lt;/titles&gt;&lt;periodical&gt;&lt;full-title&gt;Journal of Great Lakes Research&lt;/full-title&gt;&lt;/periodical&gt;&lt;pages&gt;502-517&lt;/pages&gt;&lt;volume&gt;40&lt;/volume&gt;&lt;number&gt;3&lt;/number&gt;&lt;keywords&gt;&lt;keyword&gt;Bioavailable phosphorus&lt;/keyword&gt;&lt;keyword&gt;Particulate phosphorus&lt;/keyword&gt;&lt;keyword&gt;Dissolved phosphorus&lt;/keyword&gt;&lt;keyword&gt;Lake Erie re-eutrophication&lt;/keyword&gt;&lt;keyword&gt;Nonpoint sources&lt;/keyword&gt;&lt;keyword&gt;Point sources&lt;/keyword&gt;&lt;/keywords&gt;&lt;dates&gt;&lt;year&gt;2014&lt;/year&gt;&lt;pub-dates&gt;&lt;date&gt;2014/09/01/&lt;/date&gt;&lt;/pub-dates&gt;&lt;/dates&gt;&lt;isbn&gt;0380-1330&lt;/isbn&gt;&lt;urls&gt;&lt;related-urls&gt;&lt;url&gt;https://www.sciencedirect.com/science/article/pii/S0380133014001178&lt;/url&gt;&lt;/related-urls&gt;&lt;/urls&gt;&lt;electronic-resource-num&gt;https://doi.org/10.1016/j.jglr.2014.05.001&lt;/electronic-resource-num&gt;&lt;/record&gt;&lt;/Cite&gt;&lt;/EndNote&gt;</w:instrText>
      </w:r>
      <w:r w:rsidR="002A2836">
        <w:fldChar w:fldCharType="separate"/>
      </w:r>
      <w:r w:rsidR="002A2836">
        <w:rPr>
          <w:noProof/>
        </w:rPr>
        <w:t>(Baker et al., 2014)</w:t>
      </w:r>
      <w:r w:rsidR="002A2836">
        <w:fldChar w:fldCharType="end"/>
      </w:r>
      <w:r w:rsidR="002A2836">
        <w:t xml:space="preserve">. Over the periods of interest, anywhere from 300-500 samples were collected per year per site. </w:t>
      </w:r>
      <w:r w:rsidR="00DF2E13" w:rsidRPr="00DF2E13">
        <w:rPr>
          <w:highlight w:val="yellow"/>
        </w:rPr>
        <w:t>In all cases, the annual percentage of days with missing concentration data was less than 15% (Supplemental Material, Table S1</w:t>
      </w:r>
      <w:r w:rsidR="00DF2E13" w:rsidRPr="003C6EFE">
        <w:t>).</w:t>
      </w:r>
      <w:r w:rsidR="00DF2E13">
        <w:t xml:space="preserve"> </w:t>
      </w:r>
      <w:r w:rsidR="002A2836">
        <w:t xml:space="preserve">Prior to analysis, </w:t>
      </w:r>
      <w:r w:rsidR="002A2836" w:rsidRPr="002A2836">
        <w:t>we first</w:t>
      </w:r>
      <w:r w:rsidR="002A2836">
        <w:t xml:space="preserve"> aggregated sample concentrations into daily values by </w:t>
      </w:r>
      <w:r w:rsidR="00DF2E13">
        <w:t>calculating</w:t>
      </w:r>
      <w:r w:rsidR="002A2836">
        <w:t xml:space="preserve"> the </w:t>
      </w:r>
      <w:r w:rsidR="00DF2E13">
        <w:t>daily flow-weighted mean</w:t>
      </w:r>
      <w:r w:rsidR="002A2836">
        <w:t xml:space="preserve"> SRP and TP</w:t>
      </w:r>
      <w:r w:rsidR="002A2836" w:rsidRPr="002A2836">
        <w:t xml:space="preserve"> concentration </w:t>
      </w:r>
      <w:r w:rsidR="00DF2E13">
        <w:t xml:space="preserve">on days </w:t>
      </w:r>
      <w:r w:rsidR="002A2836" w:rsidRPr="002A2836">
        <w:t>when multiple measurements were available</w:t>
      </w:r>
      <w:r w:rsidR="00DF2E13">
        <w:t>. S</w:t>
      </w:r>
      <w:r w:rsidR="00DF2E13" w:rsidRPr="003C6EFE">
        <w:t xml:space="preserve">treamflow data </w:t>
      </w:r>
      <w:r w:rsidR="00DF2E13">
        <w:t xml:space="preserve">from nearby </w:t>
      </w:r>
      <w:r w:rsidR="00DF2E13" w:rsidRPr="003C6EFE">
        <w:t>were U.S. Geological Survey (USGS) gauging station</w:t>
      </w:r>
      <w:r w:rsidR="00DF2E13">
        <w:t>s were</w:t>
      </w:r>
      <w:r w:rsidR="00DF2E13" w:rsidRPr="003C6EFE">
        <w:t xml:space="preserve"> downloaded from the USGS data portal using the R package </w:t>
      </w:r>
      <w:proofErr w:type="spellStart"/>
      <w:r w:rsidR="00DF2E13" w:rsidRPr="003C6EFE">
        <w:rPr>
          <w:i/>
          <w:iCs/>
        </w:rPr>
        <w:t>dataRetrieval</w:t>
      </w:r>
      <w:proofErr w:type="spellEnd"/>
      <w:r w:rsidR="00DF2E13">
        <w:t xml:space="preserve">. All data were retrieved and </w:t>
      </w:r>
      <w:r w:rsidR="00C32B3F">
        <w:t>analyzed</w:t>
      </w:r>
      <w:r w:rsidR="00DF2E13">
        <w:t xml:space="preserve"> by water year (WY), which is defined as the 12-month period from October 1 through September 30 and associated with the calendar year in which the WY ends. </w:t>
      </w:r>
    </w:p>
    <w:p w14:paraId="3589A9BD" w14:textId="7D4199AA" w:rsidR="00B40330" w:rsidRDefault="00B40330" w:rsidP="00B40330"/>
    <w:p w14:paraId="58B0FF13" w14:textId="1887C148" w:rsidR="00B40330" w:rsidRDefault="00B40330" w:rsidP="00FC32AF">
      <w:pPr>
        <w:pStyle w:val="Caption"/>
      </w:pPr>
      <w:r>
        <w:t xml:space="preserve">Table </w:t>
      </w:r>
      <w:r w:rsidR="00D4064D">
        <w:t>1</w:t>
      </w:r>
      <w:r>
        <w:t>:</w:t>
      </w:r>
      <w:r w:rsidR="00FC32AF">
        <w:t xml:space="preserve"> Site descriptions</w:t>
      </w:r>
    </w:p>
    <w:tbl>
      <w:tblPr>
        <w:tblStyle w:val="TableGrid"/>
        <w:tblW w:w="0" w:type="auto"/>
        <w:tblLook w:val="04A0" w:firstRow="1" w:lastRow="0" w:firstColumn="1" w:lastColumn="0" w:noHBand="0" w:noVBand="1"/>
      </w:tblPr>
      <w:tblGrid>
        <w:gridCol w:w="1243"/>
        <w:gridCol w:w="825"/>
        <w:gridCol w:w="1119"/>
        <w:gridCol w:w="824"/>
        <w:gridCol w:w="722"/>
        <w:gridCol w:w="1323"/>
        <w:gridCol w:w="940"/>
        <w:gridCol w:w="860"/>
        <w:gridCol w:w="936"/>
      </w:tblGrid>
      <w:tr w:rsidR="00DF2E13" w14:paraId="5960F1F8" w14:textId="77777777" w:rsidTr="00A45C64">
        <w:tc>
          <w:tcPr>
            <w:tcW w:w="1204" w:type="dxa"/>
            <w:vMerge w:val="restart"/>
          </w:tcPr>
          <w:p w14:paraId="62ED89E7" w14:textId="6BB8AF48" w:rsidR="00DF2E13" w:rsidRDefault="00DF2E13" w:rsidP="00B40330">
            <w:r>
              <w:lastRenderedPageBreak/>
              <w:t>Watershed</w:t>
            </w:r>
          </w:p>
        </w:tc>
        <w:tc>
          <w:tcPr>
            <w:tcW w:w="817" w:type="dxa"/>
            <w:vMerge w:val="restart"/>
          </w:tcPr>
          <w:p w14:paraId="4DD05615" w14:textId="4F8D3446" w:rsidR="00DF2E13" w:rsidRPr="00B40330" w:rsidRDefault="00DF2E13" w:rsidP="00B40330">
            <w:r>
              <w:t>Area (km</w:t>
            </w:r>
            <w:r>
              <w:rPr>
                <w:vertAlign w:val="superscript"/>
              </w:rPr>
              <w:t>2</w:t>
            </w:r>
            <w:r>
              <w:t>)</w:t>
            </w:r>
          </w:p>
        </w:tc>
        <w:tc>
          <w:tcPr>
            <w:tcW w:w="1119" w:type="dxa"/>
            <w:vMerge w:val="restart"/>
          </w:tcPr>
          <w:p w14:paraId="611B2C77" w14:textId="2DAC2FD7" w:rsidR="00DF2E13" w:rsidRDefault="00DF2E13" w:rsidP="00B40330">
            <w:r>
              <w:t>USGS Station ID</w:t>
            </w:r>
          </w:p>
        </w:tc>
        <w:tc>
          <w:tcPr>
            <w:tcW w:w="1546" w:type="dxa"/>
            <w:gridSpan w:val="2"/>
          </w:tcPr>
          <w:p w14:paraId="62E54A3D" w14:textId="2D697BFF" w:rsidR="00DF2E13" w:rsidRDefault="00C32B3F" w:rsidP="00B40330">
            <w:r>
              <w:t>Data selected</w:t>
            </w:r>
          </w:p>
        </w:tc>
        <w:tc>
          <w:tcPr>
            <w:tcW w:w="1209" w:type="dxa"/>
            <w:vMerge w:val="restart"/>
          </w:tcPr>
          <w:p w14:paraId="115DDFED" w14:textId="5C6997AD" w:rsidR="00DF2E13" w:rsidRDefault="00DF2E13" w:rsidP="00B40330">
            <w:r>
              <w:t>Agriculture (%)</w:t>
            </w:r>
          </w:p>
        </w:tc>
        <w:tc>
          <w:tcPr>
            <w:tcW w:w="940" w:type="dxa"/>
            <w:vMerge w:val="restart"/>
          </w:tcPr>
          <w:p w14:paraId="596451CD" w14:textId="268186AE" w:rsidR="00DF2E13" w:rsidRDefault="00DF2E13" w:rsidP="00B40330">
            <w:r>
              <w:t>Pasture (%)</w:t>
            </w:r>
          </w:p>
        </w:tc>
        <w:tc>
          <w:tcPr>
            <w:tcW w:w="860" w:type="dxa"/>
            <w:vMerge w:val="restart"/>
          </w:tcPr>
          <w:p w14:paraId="78A302FB" w14:textId="3B20312C" w:rsidR="00DF2E13" w:rsidRDefault="00DF2E13" w:rsidP="00B40330">
            <w:r>
              <w:t>Urban (%)</w:t>
            </w:r>
          </w:p>
        </w:tc>
        <w:tc>
          <w:tcPr>
            <w:tcW w:w="928" w:type="dxa"/>
            <w:vMerge w:val="restart"/>
          </w:tcPr>
          <w:p w14:paraId="20B64B66" w14:textId="5C97E929" w:rsidR="00DF2E13" w:rsidRDefault="00DF2E13" w:rsidP="00B40330">
            <w:r>
              <w:t>Subject to NM rules</w:t>
            </w:r>
          </w:p>
        </w:tc>
      </w:tr>
      <w:tr w:rsidR="00DF2E13" w14:paraId="37514064" w14:textId="77777777" w:rsidTr="00A45C64">
        <w:tc>
          <w:tcPr>
            <w:tcW w:w="1204" w:type="dxa"/>
            <w:vMerge/>
          </w:tcPr>
          <w:p w14:paraId="772F91FB" w14:textId="77777777" w:rsidR="00DF2E13" w:rsidRDefault="00DF2E13" w:rsidP="00B40330"/>
        </w:tc>
        <w:tc>
          <w:tcPr>
            <w:tcW w:w="817" w:type="dxa"/>
            <w:vMerge/>
          </w:tcPr>
          <w:p w14:paraId="770030AF" w14:textId="68F76C2B" w:rsidR="00DF2E13" w:rsidRDefault="00DF2E13" w:rsidP="00B40330"/>
        </w:tc>
        <w:tc>
          <w:tcPr>
            <w:tcW w:w="1119" w:type="dxa"/>
            <w:vMerge/>
          </w:tcPr>
          <w:p w14:paraId="24A1C77B" w14:textId="77777777" w:rsidR="00DF2E13" w:rsidRDefault="00DF2E13" w:rsidP="00B40330"/>
        </w:tc>
        <w:tc>
          <w:tcPr>
            <w:tcW w:w="824" w:type="dxa"/>
          </w:tcPr>
          <w:p w14:paraId="5D5895FE" w14:textId="6A85A898" w:rsidR="00DF2E13" w:rsidRDefault="00DF2E13" w:rsidP="00B40330">
            <w:r>
              <w:t>Begin</w:t>
            </w:r>
          </w:p>
        </w:tc>
        <w:tc>
          <w:tcPr>
            <w:tcW w:w="722" w:type="dxa"/>
          </w:tcPr>
          <w:p w14:paraId="2A7F2B2F" w14:textId="3374E762" w:rsidR="00DF2E13" w:rsidRDefault="00DF2E13" w:rsidP="00B40330">
            <w:r>
              <w:t>End</w:t>
            </w:r>
          </w:p>
        </w:tc>
        <w:tc>
          <w:tcPr>
            <w:tcW w:w="1209" w:type="dxa"/>
            <w:vMerge/>
          </w:tcPr>
          <w:p w14:paraId="6BA871DA" w14:textId="77777777" w:rsidR="00DF2E13" w:rsidRDefault="00DF2E13" w:rsidP="00B40330"/>
        </w:tc>
        <w:tc>
          <w:tcPr>
            <w:tcW w:w="940" w:type="dxa"/>
            <w:vMerge/>
          </w:tcPr>
          <w:p w14:paraId="3824B8D9" w14:textId="77777777" w:rsidR="00DF2E13" w:rsidRDefault="00DF2E13" w:rsidP="00B40330"/>
        </w:tc>
        <w:tc>
          <w:tcPr>
            <w:tcW w:w="860" w:type="dxa"/>
            <w:vMerge/>
          </w:tcPr>
          <w:p w14:paraId="73D43206" w14:textId="77777777" w:rsidR="00DF2E13" w:rsidRDefault="00DF2E13" w:rsidP="00B40330"/>
        </w:tc>
        <w:tc>
          <w:tcPr>
            <w:tcW w:w="928" w:type="dxa"/>
            <w:vMerge/>
          </w:tcPr>
          <w:p w14:paraId="2E8FFE2D" w14:textId="77777777" w:rsidR="00DF2E13" w:rsidRDefault="00DF2E13" w:rsidP="00B40330"/>
        </w:tc>
      </w:tr>
      <w:tr w:rsidR="00DF2E13" w14:paraId="31F9532E" w14:textId="77777777" w:rsidTr="00A45C64">
        <w:tc>
          <w:tcPr>
            <w:tcW w:w="1204" w:type="dxa"/>
          </w:tcPr>
          <w:p w14:paraId="431FFC3E" w14:textId="3A13D3F8" w:rsidR="00DF2E13" w:rsidRDefault="00DF2E13" w:rsidP="00B40330">
            <w:r>
              <w:t>Blanchard</w:t>
            </w:r>
          </w:p>
        </w:tc>
        <w:tc>
          <w:tcPr>
            <w:tcW w:w="817" w:type="dxa"/>
          </w:tcPr>
          <w:p w14:paraId="3D1CAE0A" w14:textId="2A898E41" w:rsidR="00DF2E13" w:rsidRDefault="00A45C64" w:rsidP="00B40330">
            <w:r>
              <w:t>896</w:t>
            </w:r>
          </w:p>
        </w:tc>
        <w:tc>
          <w:tcPr>
            <w:tcW w:w="1119" w:type="dxa"/>
          </w:tcPr>
          <w:p w14:paraId="436F4C43" w14:textId="77777777" w:rsidR="00DF2E13" w:rsidRDefault="00DF2E13" w:rsidP="00B40330"/>
        </w:tc>
        <w:tc>
          <w:tcPr>
            <w:tcW w:w="824" w:type="dxa"/>
          </w:tcPr>
          <w:p w14:paraId="104D9578" w14:textId="39F39C49" w:rsidR="00DF2E13" w:rsidRDefault="00A45C64" w:rsidP="00B40330">
            <w:r>
              <w:t>2008</w:t>
            </w:r>
          </w:p>
        </w:tc>
        <w:tc>
          <w:tcPr>
            <w:tcW w:w="722" w:type="dxa"/>
          </w:tcPr>
          <w:p w14:paraId="0B6BDC49" w14:textId="78EFA53A" w:rsidR="00DF2E13" w:rsidRDefault="00A45C64" w:rsidP="00B40330">
            <w:r>
              <w:t>2022</w:t>
            </w:r>
          </w:p>
        </w:tc>
        <w:tc>
          <w:tcPr>
            <w:tcW w:w="1209" w:type="dxa"/>
          </w:tcPr>
          <w:p w14:paraId="43EE9F22" w14:textId="77777777" w:rsidR="00DF2E13" w:rsidRDefault="00DF2E13" w:rsidP="00B40330"/>
        </w:tc>
        <w:tc>
          <w:tcPr>
            <w:tcW w:w="940" w:type="dxa"/>
          </w:tcPr>
          <w:p w14:paraId="345BA130" w14:textId="77777777" w:rsidR="00DF2E13" w:rsidRDefault="00DF2E13" w:rsidP="00B40330"/>
        </w:tc>
        <w:tc>
          <w:tcPr>
            <w:tcW w:w="860" w:type="dxa"/>
          </w:tcPr>
          <w:p w14:paraId="3A436D01" w14:textId="77777777" w:rsidR="00DF2E13" w:rsidRDefault="00DF2E13" w:rsidP="00B40330"/>
        </w:tc>
        <w:tc>
          <w:tcPr>
            <w:tcW w:w="928" w:type="dxa"/>
          </w:tcPr>
          <w:p w14:paraId="47B98C8A" w14:textId="77777777" w:rsidR="00DF2E13" w:rsidRDefault="00DF2E13" w:rsidP="00B40330"/>
        </w:tc>
      </w:tr>
      <w:tr w:rsidR="00A45C64" w14:paraId="25D19646" w14:textId="77777777" w:rsidTr="00A45C64">
        <w:tc>
          <w:tcPr>
            <w:tcW w:w="1204" w:type="dxa"/>
          </w:tcPr>
          <w:p w14:paraId="2C26A0F8" w14:textId="3C2B4B4E" w:rsidR="00A45C64" w:rsidRDefault="00A45C64" w:rsidP="00A45C64">
            <w:r>
              <w:t>Honey</w:t>
            </w:r>
          </w:p>
        </w:tc>
        <w:tc>
          <w:tcPr>
            <w:tcW w:w="817" w:type="dxa"/>
          </w:tcPr>
          <w:p w14:paraId="60FA0729" w14:textId="63EED292" w:rsidR="00A45C64" w:rsidRDefault="00A45C64" w:rsidP="00A45C64">
            <w:r>
              <w:rPr>
                <w:rFonts w:ascii="Calibri" w:hAnsi="Calibri" w:cs="Calibri"/>
                <w:color w:val="000000"/>
              </w:rPr>
              <w:t>386</w:t>
            </w:r>
          </w:p>
        </w:tc>
        <w:tc>
          <w:tcPr>
            <w:tcW w:w="1119" w:type="dxa"/>
          </w:tcPr>
          <w:p w14:paraId="17F8C9A0" w14:textId="77777777" w:rsidR="00A45C64" w:rsidRDefault="00A45C64" w:rsidP="00A45C64"/>
        </w:tc>
        <w:tc>
          <w:tcPr>
            <w:tcW w:w="824" w:type="dxa"/>
          </w:tcPr>
          <w:p w14:paraId="72F18B28" w14:textId="356F4429" w:rsidR="00A45C64" w:rsidRDefault="00A45C64" w:rsidP="00A45C64">
            <w:r>
              <w:t>2008</w:t>
            </w:r>
          </w:p>
        </w:tc>
        <w:tc>
          <w:tcPr>
            <w:tcW w:w="722" w:type="dxa"/>
          </w:tcPr>
          <w:p w14:paraId="37746083" w14:textId="6E586972" w:rsidR="00A45C64" w:rsidRDefault="00A45C64" w:rsidP="00A45C64">
            <w:r>
              <w:t>2022</w:t>
            </w:r>
          </w:p>
        </w:tc>
        <w:tc>
          <w:tcPr>
            <w:tcW w:w="1209" w:type="dxa"/>
          </w:tcPr>
          <w:p w14:paraId="06A7597C" w14:textId="77777777" w:rsidR="00A45C64" w:rsidRDefault="00A45C64" w:rsidP="00A45C64"/>
        </w:tc>
        <w:tc>
          <w:tcPr>
            <w:tcW w:w="940" w:type="dxa"/>
          </w:tcPr>
          <w:p w14:paraId="5D209FFE" w14:textId="77777777" w:rsidR="00A45C64" w:rsidRDefault="00A45C64" w:rsidP="00A45C64"/>
        </w:tc>
        <w:tc>
          <w:tcPr>
            <w:tcW w:w="860" w:type="dxa"/>
          </w:tcPr>
          <w:p w14:paraId="47A6CB15" w14:textId="77777777" w:rsidR="00A45C64" w:rsidRDefault="00A45C64" w:rsidP="00A45C64"/>
        </w:tc>
        <w:tc>
          <w:tcPr>
            <w:tcW w:w="928" w:type="dxa"/>
          </w:tcPr>
          <w:p w14:paraId="64C9CF7A" w14:textId="77777777" w:rsidR="00A45C64" w:rsidRDefault="00A45C64" w:rsidP="00A45C64"/>
        </w:tc>
      </w:tr>
      <w:tr w:rsidR="00A45C64" w14:paraId="56892A2F" w14:textId="77777777" w:rsidTr="00A45C64">
        <w:tc>
          <w:tcPr>
            <w:tcW w:w="1204" w:type="dxa"/>
          </w:tcPr>
          <w:p w14:paraId="747ED1F8" w14:textId="47F6D931" w:rsidR="00A45C64" w:rsidRDefault="00A45C64" w:rsidP="00A45C64">
            <w:r>
              <w:t>Maumee</w:t>
            </w:r>
          </w:p>
        </w:tc>
        <w:tc>
          <w:tcPr>
            <w:tcW w:w="817" w:type="dxa"/>
          </w:tcPr>
          <w:p w14:paraId="404A0F6E" w14:textId="5C111044" w:rsidR="00A45C64" w:rsidRDefault="00A45C64" w:rsidP="00A45C64">
            <w:r>
              <w:rPr>
                <w:rFonts w:ascii="Calibri" w:hAnsi="Calibri" w:cs="Calibri"/>
                <w:color w:val="000000"/>
              </w:rPr>
              <w:t>16388</w:t>
            </w:r>
          </w:p>
        </w:tc>
        <w:tc>
          <w:tcPr>
            <w:tcW w:w="1119" w:type="dxa"/>
          </w:tcPr>
          <w:p w14:paraId="614C73AE" w14:textId="77777777" w:rsidR="00A45C64" w:rsidRDefault="00A45C64" w:rsidP="00A45C64"/>
        </w:tc>
        <w:tc>
          <w:tcPr>
            <w:tcW w:w="824" w:type="dxa"/>
          </w:tcPr>
          <w:p w14:paraId="743EBE02" w14:textId="0896A985" w:rsidR="00A45C64" w:rsidRDefault="00A45C64" w:rsidP="00A45C64">
            <w:r>
              <w:t>2008</w:t>
            </w:r>
          </w:p>
        </w:tc>
        <w:tc>
          <w:tcPr>
            <w:tcW w:w="722" w:type="dxa"/>
          </w:tcPr>
          <w:p w14:paraId="260C44C5" w14:textId="65B4EC40" w:rsidR="00A45C64" w:rsidRDefault="00A45C64" w:rsidP="00A45C64">
            <w:r>
              <w:t>2022</w:t>
            </w:r>
          </w:p>
        </w:tc>
        <w:tc>
          <w:tcPr>
            <w:tcW w:w="1209" w:type="dxa"/>
          </w:tcPr>
          <w:p w14:paraId="3FB6FEBA" w14:textId="77777777" w:rsidR="00A45C64" w:rsidRDefault="00A45C64" w:rsidP="00A45C64"/>
        </w:tc>
        <w:tc>
          <w:tcPr>
            <w:tcW w:w="940" w:type="dxa"/>
          </w:tcPr>
          <w:p w14:paraId="6A56F225" w14:textId="77777777" w:rsidR="00A45C64" w:rsidRDefault="00A45C64" w:rsidP="00A45C64"/>
        </w:tc>
        <w:tc>
          <w:tcPr>
            <w:tcW w:w="860" w:type="dxa"/>
          </w:tcPr>
          <w:p w14:paraId="249467B6" w14:textId="77777777" w:rsidR="00A45C64" w:rsidRDefault="00A45C64" w:rsidP="00A45C64"/>
        </w:tc>
        <w:tc>
          <w:tcPr>
            <w:tcW w:w="928" w:type="dxa"/>
          </w:tcPr>
          <w:p w14:paraId="6C5B64AA" w14:textId="77777777" w:rsidR="00A45C64" w:rsidRDefault="00A45C64" w:rsidP="00A45C64"/>
        </w:tc>
      </w:tr>
      <w:tr w:rsidR="00A45C64" w14:paraId="7B7DBDD5" w14:textId="77777777" w:rsidTr="00A45C64">
        <w:tc>
          <w:tcPr>
            <w:tcW w:w="1204" w:type="dxa"/>
          </w:tcPr>
          <w:p w14:paraId="672422A4" w14:textId="3DB84E71" w:rsidR="00A45C64" w:rsidRDefault="00A45C64" w:rsidP="00A45C64">
            <w:r>
              <w:t>Portage</w:t>
            </w:r>
          </w:p>
        </w:tc>
        <w:tc>
          <w:tcPr>
            <w:tcW w:w="817" w:type="dxa"/>
          </w:tcPr>
          <w:p w14:paraId="7051D80C" w14:textId="15A9E9C1" w:rsidR="00A45C64" w:rsidRDefault="00A45C64" w:rsidP="00A45C64">
            <w:r>
              <w:rPr>
                <w:rFonts w:ascii="Calibri" w:hAnsi="Calibri" w:cs="Calibri"/>
                <w:color w:val="000000"/>
              </w:rPr>
              <w:t>1108</w:t>
            </w:r>
          </w:p>
        </w:tc>
        <w:tc>
          <w:tcPr>
            <w:tcW w:w="1119" w:type="dxa"/>
          </w:tcPr>
          <w:p w14:paraId="66D1B467" w14:textId="77777777" w:rsidR="00A45C64" w:rsidRDefault="00A45C64" w:rsidP="00A45C64"/>
        </w:tc>
        <w:tc>
          <w:tcPr>
            <w:tcW w:w="824" w:type="dxa"/>
          </w:tcPr>
          <w:p w14:paraId="0EDA48D6" w14:textId="7C0DD44E" w:rsidR="00A45C64" w:rsidRDefault="00A45C64" w:rsidP="00A45C64">
            <w:r>
              <w:t>2011</w:t>
            </w:r>
          </w:p>
        </w:tc>
        <w:tc>
          <w:tcPr>
            <w:tcW w:w="722" w:type="dxa"/>
          </w:tcPr>
          <w:p w14:paraId="6728F29C" w14:textId="68D83E9F" w:rsidR="00A45C64" w:rsidRDefault="00A45C64" w:rsidP="00A45C64">
            <w:r>
              <w:t>2022</w:t>
            </w:r>
          </w:p>
        </w:tc>
        <w:tc>
          <w:tcPr>
            <w:tcW w:w="1209" w:type="dxa"/>
          </w:tcPr>
          <w:p w14:paraId="28F045B5" w14:textId="77777777" w:rsidR="00A45C64" w:rsidRDefault="00A45C64" w:rsidP="00A45C64"/>
        </w:tc>
        <w:tc>
          <w:tcPr>
            <w:tcW w:w="940" w:type="dxa"/>
          </w:tcPr>
          <w:p w14:paraId="24AEEDF9" w14:textId="77777777" w:rsidR="00A45C64" w:rsidRDefault="00A45C64" w:rsidP="00A45C64"/>
        </w:tc>
        <w:tc>
          <w:tcPr>
            <w:tcW w:w="860" w:type="dxa"/>
          </w:tcPr>
          <w:p w14:paraId="65EC2C4B" w14:textId="77777777" w:rsidR="00A45C64" w:rsidRDefault="00A45C64" w:rsidP="00A45C64"/>
        </w:tc>
        <w:tc>
          <w:tcPr>
            <w:tcW w:w="928" w:type="dxa"/>
          </w:tcPr>
          <w:p w14:paraId="306C13FC" w14:textId="77777777" w:rsidR="00A45C64" w:rsidRDefault="00A45C64" w:rsidP="00A45C64"/>
        </w:tc>
      </w:tr>
      <w:tr w:rsidR="00A45C64" w14:paraId="752A165F" w14:textId="77777777" w:rsidTr="00A45C64">
        <w:tc>
          <w:tcPr>
            <w:tcW w:w="1204" w:type="dxa"/>
          </w:tcPr>
          <w:p w14:paraId="21E88D77" w14:textId="514009F1" w:rsidR="00A45C64" w:rsidRDefault="00A45C64" w:rsidP="00A45C64">
            <w:r>
              <w:t>Raisin</w:t>
            </w:r>
          </w:p>
        </w:tc>
        <w:tc>
          <w:tcPr>
            <w:tcW w:w="817" w:type="dxa"/>
          </w:tcPr>
          <w:p w14:paraId="7187D616" w14:textId="32795DEA" w:rsidR="00A45C64" w:rsidRDefault="00A45C64" w:rsidP="00A45C64">
            <w:r>
              <w:rPr>
                <w:rFonts w:ascii="Calibri" w:hAnsi="Calibri" w:cs="Calibri"/>
                <w:color w:val="000000"/>
              </w:rPr>
              <w:t>2698</w:t>
            </w:r>
          </w:p>
        </w:tc>
        <w:tc>
          <w:tcPr>
            <w:tcW w:w="1119" w:type="dxa"/>
          </w:tcPr>
          <w:p w14:paraId="045DD95F" w14:textId="77777777" w:rsidR="00A45C64" w:rsidRDefault="00A45C64" w:rsidP="00A45C64"/>
        </w:tc>
        <w:tc>
          <w:tcPr>
            <w:tcW w:w="824" w:type="dxa"/>
          </w:tcPr>
          <w:p w14:paraId="032CEB41" w14:textId="16F217E1" w:rsidR="00A45C64" w:rsidRDefault="00A45C64" w:rsidP="00A45C64">
            <w:r>
              <w:t>2008</w:t>
            </w:r>
          </w:p>
        </w:tc>
        <w:tc>
          <w:tcPr>
            <w:tcW w:w="722" w:type="dxa"/>
          </w:tcPr>
          <w:p w14:paraId="6D49C765" w14:textId="26CD6F37" w:rsidR="00A45C64" w:rsidRDefault="00A45C64" w:rsidP="00A45C64">
            <w:r>
              <w:t>2022</w:t>
            </w:r>
          </w:p>
        </w:tc>
        <w:tc>
          <w:tcPr>
            <w:tcW w:w="1209" w:type="dxa"/>
          </w:tcPr>
          <w:p w14:paraId="42736308" w14:textId="77777777" w:rsidR="00A45C64" w:rsidRDefault="00A45C64" w:rsidP="00A45C64"/>
        </w:tc>
        <w:tc>
          <w:tcPr>
            <w:tcW w:w="940" w:type="dxa"/>
          </w:tcPr>
          <w:p w14:paraId="5FAB05B1" w14:textId="77777777" w:rsidR="00A45C64" w:rsidRDefault="00A45C64" w:rsidP="00A45C64"/>
        </w:tc>
        <w:tc>
          <w:tcPr>
            <w:tcW w:w="860" w:type="dxa"/>
          </w:tcPr>
          <w:p w14:paraId="3F0644B2" w14:textId="77777777" w:rsidR="00A45C64" w:rsidRDefault="00A45C64" w:rsidP="00A45C64"/>
        </w:tc>
        <w:tc>
          <w:tcPr>
            <w:tcW w:w="928" w:type="dxa"/>
          </w:tcPr>
          <w:p w14:paraId="6E8641FE" w14:textId="6E94FC7C" w:rsidR="00A45C64" w:rsidRDefault="00A45C64" w:rsidP="00A45C64">
            <w:r>
              <w:t>N</w:t>
            </w:r>
          </w:p>
        </w:tc>
      </w:tr>
      <w:tr w:rsidR="00A45C64" w14:paraId="7D2AE35D" w14:textId="77777777" w:rsidTr="00A45C64">
        <w:tc>
          <w:tcPr>
            <w:tcW w:w="1204" w:type="dxa"/>
          </w:tcPr>
          <w:p w14:paraId="7D54D538" w14:textId="53615AE4" w:rsidR="00A45C64" w:rsidRDefault="00A45C64" w:rsidP="00A45C64">
            <w:r>
              <w:t>Sandusky</w:t>
            </w:r>
          </w:p>
        </w:tc>
        <w:tc>
          <w:tcPr>
            <w:tcW w:w="817" w:type="dxa"/>
          </w:tcPr>
          <w:p w14:paraId="146FE89B" w14:textId="7514BAD0" w:rsidR="00A45C64" w:rsidRDefault="00A45C64" w:rsidP="00A45C64">
            <w:r>
              <w:rPr>
                <w:rFonts w:ascii="Calibri" w:hAnsi="Calibri" w:cs="Calibri"/>
                <w:color w:val="000000"/>
              </w:rPr>
              <w:t>3239</w:t>
            </w:r>
          </w:p>
        </w:tc>
        <w:tc>
          <w:tcPr>
            <w:tcW w:w="1119" w:type="dxa"/>
          </w:tcPr>
          <w:p w14:paraId="0FCD416F" w14:textId="77777777" w:rsidR="00A45C64" w:rsidRDefault="00A45C64" w:rsidP="00A45C64"/>
        </w:tc>
        <w:tc>
          <w:tcPr>
            <w:tcW w:w="824" w:type="dxa"/>
          </w:tcPr>
          <w:p w14:paraId="243B2FB8" w14:textId="608ACDEE" w:rsidR="00A45C64" w:rsidRDefault="00A45C64" w:rsidP="00A45C64">
            <w:r>
              <w:t>2008</w:t>
            </w:r>
          </w:p>
        </w:tc>
        <w:tc>
          <w:tcPr>
            <w:tcW w:w="722" w:type="dxa"/>
          </w:tcPr>
          <w:p w14:paraId="0DA25C2C" w14:textId="32305D8F" w:rsidR="00A45C64" w:rsidRDefault="00A45C64" w:rsidP="00A45C64">
            <w:r>
              <w:t>2022</w:t>
            </w:r>
          </w:p>
        </w:tc>
        <w:tc>
          <w:tcPr>
            <w:tcW w:w="1209" w:type="dxa"/>
          </w:tcPr>
          <w:p w14:paraId="28B6AB8C" w14:textId="77777777" w:rsidR="00A45C64" w:rsidRDefault="00A45C64" w:rsidP="00A45C64"/>
        </w:tc>
        <w:tc>
          <w:tcPr>
            <w:tcW w:w="940" w:type="dxa"/>
          </w:tcPr>
          <w:p w14:paraId="02DFF01B" w14:textId="77777777" w:rsidR="00A45C64" w:rsidRDefault="00A45C64" w:rsidP="00A45C64"/>
        </w:tc>
        <w:tc>
          <w:tcPr>
            <w:tcW w:w="860" w:type="dxa"/>
          </w:tcPr>
          <w:p w14:paraId="640AF1E8" w14:textId="77777777" w:rsidR="00A45C64" w:rsidRDefault="00A45C64" w:rsidP="00A45C64"/>
        </w:tc>
        <w:tc>
          <w:tcPr>
            <w:tcW w:w="928" w:type="dxa"/>
          </w:tcPr>
          <w:p w14:paraId="12EF30AC" w14:textId="77777777" w:rsidR="00A45C64" w:rsidRDefault="00A45C64" w:rsidP="00A45C64"/>
        </w:tc>
      </w:tr>
      <w:tr w:rsidR="00A45C64" w14:paraId="3C257A15" w14:textId="77777777" w:rsidTr="00A45C64">
        <w:tc>
          <w:tcPr>
            <w:tcW w:w="1204" w:type="dxa"/>
          </w:tcPr>
          <w:p w14:paraId="71615F6B" w14:textId="7079FDE1" w:rsidR="00A45C64" w:rsidRDefault="00A45C64" w:rsidP="00A45C64">
            <w:r>
              <w:t>Tiffin</w:t>
            </w:r>
          </w:p>
        </w:tc>
        <w:tc>
          <w:tcPr>
            <w:tcW w:w="817" w:type="dxa"/>
          </w:tcPr>
          <w:p w14:paraId="0A582B62" w14:textId="374FB17A" w:rsidR="00A45C64" w:rsidRDefault="00A45C64" w:rsidP="00A45C64">
            <w:r>
              <w:rPr>
                <w:rFonts w:ascii="Calibri" w:hAnsi="Calibri" w:cs="Calibri"/>
                <w:color w:val="000000"/>
              </w:rPr>
              <w:t>1061</w:t>
            </w:r>
          </w:p>
        </w:tc>
        <w:tc>
          <w:tcPr>
            <w:tcW w:w="1119" w:type="dxa"/>
          </w:tcPr>
          <w:p w14:paraId="3E82808F" w14:textId="77777777" w:rsidR="00A45C64" w:rsidRDefault="00A45C64" w:rsidP="00A45C64"/>
        </w:tc>
        <w:tc>
          <w:tcPr>
            <w:tcW w:w="824" w:type="dxa"/>
          </w:tcPr>
          <w:p w14:paraId="7384F5B6" w14:textId="480B1055" w:rsidR="00A45C64" w:rsidRDefault="00A45C64" w:rsidP="00A45C64">
            <w:r>
              <w:t>2008</w:t>
            </w:r>
          </w:p>
        </w:tc>
        <w:tc>
          <w:tcPr>
            <w:tcW w:w="722" w:type="dxa"/>
          </w:tcPr>
          <w:p w14:paraId="4ED34047" w14:textId="17BB75FF" w:rsidR="00A45C64" w:rsidRDefault="00A45C64" w:rsidP="00A45C64">
            <w:r>
              <w:t>2022</w:t>
            </w:r>
          </w:p>
        </w:tc>
        <w:tc>
          <w:tcPr>
            <w:tcW w:w="1209" w:type="dxa"/>
          </w:tcPr>
          <w:p w14:paraId="1955B2B2" w14:textId="77777777" w:rsidR="00A45C64" w:rsidRDefault="00A45C64" w:rsidP="00A45C64"/>
        </w:tc>
        <w:tc>
          <w:tcPr>
            <w:tcW w:w="940" w:type="dxa"/>
          </w:tcPr>
          <w:p w14:paraId="07B51469" w14:textId="77777777" w:rsidR="00A45C64" w:rsidRDefault="00A45C64" w:rsidP="00A45C64"/>
        </w:tc>
        <w:tc>
          <w:tcPr>
            <w:tcW w:w="860" w:type="dxa"/>
          </w:tcPr>
          <w:p w14:paraId="48DCA708" w14:textId="77777777" w:rsidR="00A45C64" w:rsidRDefault="00A45C64" w:rsidP="00A45C64"/>
        </w:tc>
        <w:tc>
          <w:tcPr>
            <w:tcW w:w="928" w:type="dxa"/>
          </w:tcPr>
          <w:p w14:paraId="5400C229" w14:textId="77777777" w:rsidR="00A45C64" w:rsidRDefault="00A45C64" w:rsidP="00A45C64"/>
        </w:tc>
      </w:tr>
    </w:tbl>
    <w:p w14:paraId="37DC06E9" w14:textId="130D976E" w:rsidR="00B40330" w:rsidRDefault="00B40330" w:rsidP="00B40330"/>
    <w:p w14:paraId="5B6227D5" w14:textId="44ECCB15" w:rsidR="00494CFD" w:rsidRDefault="00DF2E13" w:rsidP="00DF2E13">
      <w:pPr>
        <w:pStyle w:val="Heading2"/>
      </w:pPr>
      <w:r>
        <w:t>Analysis of Concentration and Flux trends</w:t>
      </w:r>
    </w:p>
    <w:p w14:paraId="23FEDCD2" w14:textId="7388DCE4" w:rsidR="00E226F8" w:rsidRDefault="00072255" w:rsidP="00047F52">
      <w:pPr>
        <w:ind w:firstLine="720"/>
      </w:pPr>
      <w:r>
        <w:t xml:space="preserve">WRTDS </w:t>
      </w:r>
      <w:r w:rsidR="00DF2E13" w:rsidRPr="003C6EFE">
        <w:t>estimate</w:t>
      </w:r>
      <w:r>
        <w:t>s</w:t>
      </w:r>
      <w:r w:rsidR="00CD2E89">
        <w:t xml:space="preserve"> SRP and TP concentrations for every day of the period of record at ea</w:t>
      </w:r>
      <w:r>
        <w:t>ch site using</w:t>
      </w:r>
      <w:r w:rsidRPr="00072255">
        <w:t xml:space="preserve"> four components: the relation to discharge, seasonality, long-term trend, and a random component</w:t>
      </w:r>
      <w:r w:rsidR="00CD2E89">
        <w:t xml:space="preserve"> </w:t>
      </w:r>
      <w:r w:rsidR="00CD2E89">
        <w:fldChar w:fldCharType="begin">
          <w:fldData xml:space="preserve">PEVuZE5vdGU+PENpdGU+PEF1dGhvcj5TdGFja3Bvb2xlPC9BdXRob3I+PFllYXI+MjAyMTwvWWVh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</w:fldData>
        </w:fldChar>
      </w:r>
      <w:r w:rsidR="00CD2E89">
        <w:instrText xml:space="preserve"> ADDIN EN.CITE </w:instrText>
      </w:r>
      <w:r w:rsidR="00CD2E89">
        <w:fldChar w:fldCharType="begin">
          <w:fldData xml:space="preserve">PEVuZE5vdGU+PENpdGU+PEF1dGhvcj5TdGFja3Bvb2xlPC9BdXRob3I+PFllYXI+MjAyMTwvWWVh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</w:fldData>
        </w:fldChar>
      </w:r>
      <w:r w:rsidR="00CD2E89">
        <w:instrText xml:space="preserve"> ADDIN EN.CITE.DATA </w:instrText>
      </w:r>
      <w:r w:rsidR="00CD2E89">
        <w:fldChar w:fldCharType="end"/>
      </w:r>
      <w:r w:rsidR="00CD2E89">
        <w:fldChar w:fldCharType="separate"/>
      </w:r>
      <w:r w:rsidR="00CD2E89">
        <w:rPr>
          <w:noProof/>
        </w:rPr>
        <w:t>(Hirsch, Moyer, &amp; Archfield, 2010; Sprague, Hirsch, &amp; Aulenbach, 2011; Stackpoole, Sabo, Falcone, &amp; Sprague, 2021)</w:t>
      </w:r>
      <w:r w:rsidR="00CD2E89">
        <w:fldChar w:fldCharType="end"/>
      </w:r>
      <w:r w:rsidR="00CD2E89">
        <w:t xml:space="preserve">. </w:t>
      </w:r>
      <w:r>
        <w:t>Estimates of daily concentration are multiplied by the respective daily mean streamflow to produce an estimate of the daily flux</w:t>
      </w:r>
      <w:r w:rsidR="00047F52">
        <w:t>. Additionally</w:t>
      </w:r>
      <w:r>
        <w:t>,</w:t>
      </w:r>
      <w:r w:rsidR="00047F52">
        <w:t xml:space="preserve"> f</w:t>
      </w:r>
      <w:r w:rsidR="00DF2E13" w:rsidRPr="003C6EFE">
        <w:t>low normalized (FN) concentrations</w:t>
      </w:r>
      <w:r w:rsidR="00047F52">
        <w:t xml:space="preserve"> and fluxes are also computed by WRTDS. </w:t>
      </w:r>
      <w:r w:rsidR="00DF2E13" w:rsidRPr="003C6EFE">
        <w:t xml:space="preserve">Flow normalization </w:t>
      </w:r>
      <w:r w:rsidR="00047F52">
        <w:t>aims to remove variations in concentration and flux caused by random variation</w:t>
      </w:r>
      <w:r w:rsidR="00DF2E13" w:rsidRPr="003C6EFE">
        <w:t xml:space="preserve"> in streamflow and has been found to provide the best available method for nutrient trend evaluation </w:t>
      </w:r>
      <w:r w:rsidR="00DF2E13" w:rsidRPr="003C6EFE">
        <w:fldChar w:fldCharType="begin">
          <w:fldData xml:space="preserve">PEVuZE5vdGU+PENpdGU+PEF1dGhvcj5Sb3dsYW5kPC9BdXRob3I+PFllYXI+MjAyMTwvWWVhcj48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==
</w:fldData>
        </w:fldChar>
      </w:r>
      <w:r w:rsidR="00047F52">
        <w:instrText xml:space="preserve"> ADDIN EN.CITE </w:instrText>
      </w:r>
      <w:r w:rsidR="00047F52">
        <w:fldChar w:fldCharType="begin">
          <w:fldData xml:space="preserve">PEVuZE5vdGU+PENpdGU+PEF1dGhvcj5Sb3dsYW5kPC9BdXRob3I+PFllYXI+MjAyMTwvWWVhcj48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==
</w:fldData>
        </w:fldChar>
      </w:r>
      <w:r w:rsidR="00047F52">
        <w:instrText xml:space="preserve"> ADDIN EN.CITE.DATA </w:instrText>
      </w:r>
      <w:r w:rsidR="00047F52">
        <w:fldChar w:fldCharType="end"/>
      </w:r>
      <w:r w:rsidR="00DF2E13" w:rsidRPr="003C6EFE">
        <w:fldChar w:fldCharType="separate"/>
      </w:r>
      <w:r w:rsidR="00047F52">
        <w:rPr>
          <w:noProof/>
        </w:rPr>
        <w:t>(Rowland, Stow, Johnson, &amp; Hirsch, 2021; Sprague et al., 2011)</w:t>
      </w:r>
      <w:r w:rsidR="00DF2E13" w:rsidRPr="003C6EFE">
        <w:fldChar w:fldCharType="end"/>
      </w:r>
      <w:r w:rsidR="00DF2E13" w:rsidRPr="003C6EFE">
        <w:t>. The smoothing process that allows flow normalization to provide the best method for trend analysis, also means that flow normalization doesn’t provide the most accurate estimates of nutrient concentrations and loads.</w:t>
      </w:r>
      <w:r w:rsidR="00047F52">
        <w:t xml:space="preserve"> Therefore, a</w:t>
      </w:r>
      <w:r w:rsidR="00DF2E13" w:rsidRPr="003C6EFE">
        <w:t xml:space="preserve">n </w:t>
      </w:r>
      <w:r w:rsidR="00DF2E13" w:rsidRPr="003C6EFE">
        <w:lastRenderedPageBreak/>
        <w:t xml:space="preserve">extension of WRTDS (WRTDS-Kalman, or WRTDS-K) was used to fill missing daily values and calculate </w:t>
      </w:r>
      <w:r w:rsidR="00DF2E13">
        <w:t xml:space="preserve">daily </w:t>
      </w:r>
      <w:r w:rsidR="00DF2E13" w:rsidRPr="003C6EFE">
        <w:t xml:space="preserve">estimates of the “actual” nutrient concentrations and loads. The FN </w:t>
      </w:r>
      <w:r w:rsidR="00D22C5D">
        <w:t>values</w:t>
      </w:r>
      <w:r w:rsidR="00DF2E13" w:rsidRPr="003C6EFE">
        <w:t xml:space="preserve"> were used to</w:t>
      </w:r>
      <w:r w:rsidR="00D22C5D">
        <w:t xml:space="preserve"> assess</w:t>
      </w:r>
      <w:r w:rsidR="00DF2E13" w:rsidRPr="003C6EFE">
        <w:t xml:space="preserve"> trends in nutrient </w:t>
      </w:r>
      <w:r w:rsidR="00D22C5D">
        <w:t>delivery across the sites</w:t>
      </w:r>
      <w:r w:rsidR="00DF2E13" w:rsidRPr="003C6EFE">
        <w:t xml:space="preserve">. The “actual” concentrations and </w:t>
      </w:r>
      <w:r w:rsidR="005E7D1F">
        <w:t>fluxe</w:t>
      </w:r>
      <w:r w:rsidR="00DF2E13" w:rsidRPr="003C6EFE">
        <w:t>s were used to identify extreme events</w:t>
      </w:r>
      <w:r w:rsidR="00047F52">
        <w:t xml:space="preserve"> and </w:t>
      </w:r>
      <w:r w:rsidR="00E226F8">
        <w:t xml:space="preserve">provide the reader with an idea of variability the actual </w:t>
      </w:r>
      <w:r w:rsidR="005E7D1F">
        <w:t>annual flux</w:t>
      </w:r>
      <w:r w:rsidR="00E226F8">
        <w:t xml:space="preserve"> values over the period. </w:t>
      </w:r>
    </w:p>
    <w:p w14:paraId="0B13A08D" w14:textId="662CD2BA" w:rsidR="00F21C60" w:rsidRDefault="0047363D" w:rsidP="00F21C60">
      <w:pPr>
        <w:ind w:firstLine="720"/>
      </w:pPr>
      <w:r>
        <w:t xml:space="preserve">Annual </w:t>
      </w:r>
      <w:r w:rsidR="00D22C5D">
        <w:t>SRP and TP</w:t>
      </w:r>
      <w:r w:rsidR="00D22C5D" w:rsidRPr="003C6EFE">
        <w:t xml:space="preserve"> trends were estimated </w:t>
      </w:r>
      <w:r w:rsidR="007D01A0">
        <w:t xml:space="preserve">for the period from </w:t>
      </w:r>
      <w:r w:rsidR="00D22C5D">
        <w:t>2008</w:t>
      </w:r>
      <w:r w:rsidR="00D22C5D" w:rsidRPr="003C6EFE">
        <w:t xml:space="preserve"> to 202</w:t>
      </w:r>
      <w:r w:rsidR="00D22C5D">
        <w:t>2.</w:t>
      </w:r>
      <w:r w:rsidR="00F21C60">
        <w:t xml:space="preserve"> </w:t>
      </w:r>
      <w:r w:rsidR="00C32B3F">
        <w:t xml:space="preserve">Because the periods of interest were less than 20 years, streamflow was assumed to be stationary for all site (the </w:t>
      </w:r>
      <w:proofErr w:type="spellStart"/>
      <w:r w:rsidR="00C32B3F">
        <w:t>windowSide</w:t>
      </w:r>
      <w:proofErr w:type="spellEnd"/>
      <w:r w:rsidR="00C32B3F">
        <w:t xml:space="preserve"> argument for EGRET was set to 0). </w:t>
      </w:r>
      <w:r w:rsidR="005E7D1F">
        <w:t>For the trend analyses, daily FN concentration and flux estimates were summarized into seasonal and annual means (for concentrations) and totals (for fluxes).</w:t>
      </w:r>
      <w:r w:rsidR="00F21C60">
        <w:t xml:space="preserve"> From these annual means, the c</w:t>
      </w:r>
      <w:r w:rsidR="00B04CD5">
        <w:t xml:space="preserve">hanges in </w:t>
      </w:r>
      <w:r w:rsidR="00F21C60">
        <w:t xml:space="preserve">FN values over the periods of interest </w:t>
      </w:r>
      <w:r w:rsidR="00B04CD5">
        <w:t>were</w:t>
      </w:r>
      <w:r w:rsidR="00F21C60">
        <w:t xml:space="preserve"> </w:t>
      </w:r>
      <w:r w:rsidR="00B04CD5">
        <w:t>examined</w:t>
      </w:r>
      <w:r w:rsidR="00F21C60">
        <w:t xml:space="preserve"> for each site and pollutant</w:t>
      </w:r>
      <w:r w:rsidR="00B04CD5">
        <w:t xml:space="preserve"> using</w:t>
      </w:r>
      <w:r w:rsidR="00F21C60">
        <w:t xml:space="preserve"> the </w:t>
      </w:r>
      <w:proofErr w:type="spellStart"/>
      <w:r w:rsidR="00F21C60" w:rsidRPr="00C32B3F">
        <w:rPr>
          <w:i/>
          <w:iCs/>
        </w:rPr>
        <w:t>runPair</w:t>
      </w:r>
      <w:r w:rsidR="00C32B3F">
        <w:rPr>
          <w:i/>
          <w:iCs/>
        </w:rPr>
        <w:t>s</w:t>
      </w:r>
      <w:proofErr w:type="spellEnd"/>
      <w:r w:rsidR="00C32B3F">
        <w:t xml:space="preserve"> function in EGRE</w:t>
      </w:r>
      <w:r>
        <w:t>T</w:t>
      </w:r>
      <w:r w:rsidR="005D3F20">
        <w:t>, which provides t</w:t>
      </w:r>
      <w:r w:rsidR="00B04CD5">
        <w:t xml:space="preserve">he </w:t>
      </w:r>
      <w:r w:rsidR="00F21C60">
        <w:t xml:space="preserve">net change </w:t>
      </w:r>
      <w:r w:rsidR="005D3F20">
        <w:t xml:space="preserve">in FN value between the start and end years </w:t>
      </w:r>
      <w:r w:rsidR="00F21C60">
        <w:t>and the net change</w:t>
      </w:r>
      <w:r w:rsidR="005D3F20">
        <w:t xml:space="preserve"> in FN value</w:t>
      </w:r>
      <w:r w:rsidR="00F21C60">
        <w:t xml:space="preserve"> as a percenta</w:t>
      </w:r>
      <w:r w:rsidR="005D3F20">
        <w:t>ge</w:t>
      </w:r>
      <w:r w:rsidR="00F21C60">
        <w:t>:</w:t>
      </w:r>
    </w:p>
    <w:p w14:paraId="00467F36" w14:textId="4ECE7E11" w:rsidR="00F21C60" w:rsidRPr="00B04CD5" w:rsidRDefault="00F21C60" w:rsidP="00F21C60">
      <w:pPr>
        <w:ind w:firstLine="720"/>
      </w:pPr>
      <w:r>
        <w:t xml:space="preserve">Net Change =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p>
    <w:p w14:paraId="3672E9DE" w14:textId="77777777" w:rsidR="00F21C60" w:rsidRDefault="00F21C60" w:rsidP="00F21C60">
      <w:pPr>
        <w:ind w:firstLine="720"/>
      </w:pPr>
      <w:r>
        <w:t xml:space="preserve">Net Change as a percentage = </w:t>
      </w:r>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r>
          <w:rPr>
            <w:rFonts w:ascii="Cambria Math" w:hAnsi="Cambria Math"/>
          </w:rPr>
          <m:t>*100</m:t>
        </m:r>
      </m:oMath>
    </w:p>
    <w:p w14:paraId="15646DC3" w14:textId="26978BAB" w:rsidR="009A5F0C" w:rsidRDefault="00F21C60" w:rsidP="00F21C60">
      <w:pPr>
        <w:rPr>
          <w:rFonts w:eastAsiaTheme="minorEastAsia"/>
        </w:rPr>
      </w:pPr>
      <w:r>
        <w:t xml:space="preserve">where,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t xml:space="preserve"> is the annual FN concentration in year </w:t>
      </w:r>
      <w:r>
        <w:rPr>
          <w:i/>
          <w:iCs/>
        </w:rPr>
        <w:t>t</w:t>
      </w:r>
      <w:r>
        <w:rPr>
          <w:i/>
          <w:iCs/>
          <w:vertAlign w:val="subscript"/>
        </w:rPr>
        <w:t>1</w:t>
      </w:r>
      <w:r>
        <w:t xml:space="preserv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oMath>
      <w:r>
        <w:rPr>
          <w:rFonts w:eastAsiaTheme="minorEastAsia"/>
        </w:rPr>
        <w:t xml:space="preserve">is the annual FN concentration in year </w:t>
      </w:r>
      <w:r>
        <w:rPr>
          <w:rFonts w:eastAsiaTheme="minorEastAsia"/>
          <w:i/>
          <w:iCs/>
        </w:rPr>
        <w:t>t</w:t>
      </w:r>
      <w:r>
        <w:rPr>
          <w:rFonts w:eastAsiaTheme="minorEastAsia"/>
          <w:i/>
          <w:iCs/>
          <w:vertAlign w:val="subscript"/>
        </w:rPr>
        <w:t>2</w:t>
      </w:r>
      <w:r>
        <w:rPr>
          <w:rFonts w:eastAsiaTheme="minorEastAsia"/>
        </w:rPr>
        <w:t xml:space="preserve">. </w:t>
      </w:r>
    </w:p>
    <w:p w14:paraId="5693BDD0" w14:textId="77777777" w:rsidR="0047363D" w:rsidRDefault="00F21C60" w:rsidP="0047363D">
      <w:pPr>
        <w:ind w:firstLine="720"/>
        <w:rPr>
          <w:rFonts w:eastAsiaTheme="minorEastAsia"/>
        </w:rPr>
      </w:pPr>
      <w:r>
        <w:rPr>
          <w:rFonts w:eastAsiaTheme="minorEastAsia"/>
        </w:rPr>
        <w:t xml:space="preserve">The uncertainty associated with </w:t>
      </w:r>
      <w:r w:rsidR="0047363D">
        <w:rPr>
          <w:rFonts w:eastAsiaTheme="minorEastAsia"/>
        </w:rPr>
        <w:t>annual FN trends</w:t>
      </w:r>
      <w:r w:rsidR="009A5F0C">
        <w:rPr>
          <w:rFonts w:eastAsiaTheme="minorEastAsia"/>
        </w:rPr>
        <w:t xml:space="preserve"> was estimated using the </w:t>
      </w:r>
      <w:proofErr w:type="spellStart"/>
      <w:r w:rsidR="009A5F0C">
        <w:rPr>
          <w:rFonts w:eastAsiaTheme="minorEastAsia"/>
        </w:rPr>
        <w:t>EGRETci</w:t>
      </w:r>
      <w:proofErr w:type="spellEnd"/>
      <w:r w:rsidR="009A5F0C">
        <w:rPr>
          <w:rFonts w:eastAsiaTheme="minorEastAsia"/>
        </w:rPr>
        <w:t xml:space="preserve"> package </w:t>
      </w:r>
      <w:r w:rsidR="009A5F0C">
        <w:rPr>
          <w:rFonts w:eastAsiaTheme="minorEastAsia"/>
        </w:rPr>
        <w:fldChar w:fldCharType="begin"/>
      </w:r>
      <w:r w:rsidR="009A5F0C">
        <w:rPr>
          <w:rFonts w:eastAsiaTheme="minorEastAsia"/>
        </w:rPr>
        <w:instrText xml:space="preserve"> ADDIN EN.CITE &lt;EndNote&gt;&lt;Cite&gt;&lt;Author&gt;Hirsch&lt;/Author&gt;&lt;Year&gt;2015&lt;/Year&gt;&lt;RecNum&gt;16958&lt;/RecNum&gt;&lt;DisplayText&gt;(Hirsch, Archfield, &amp;amp; De Cicco, 2015)&lt;/DisplayText&gt;&lt;record&gt;&lt;rec-number&gt;16958&lt;/rec-number&gt;&lt;foreign-keys&gt;&lt;key app="EN" db-id="vxf5p2xpuads9deaf5xvd2ri20s0at2spve5" timestamp="1685547370"&gt;16958&lt;/key&gt;&lt;/foreign-keys&gt;&lt;ref-type name="Journal Article"&gt;17&lt;/ref-type&gt;&lt;contributors&gt;&lt;authors&gt;&lt;author&gt;Hirsch, Robert M.&lt;/author&gt;&lt;author&gt;Archfield, Stacey A.&lt;/author&gt;&lt;author&gt;De Cicco, Laura A.&lt;/author&gt;&lt;/authors&gt;&lt;/contributors&gt;&lt;titles&gt;&lt;title&gt;A bootstrap method for estimating uncertainty of water quality trends&lt;/title&gt;&lt;secondary-title&gt;Environmental Modelling &amp;amp; Software&lt;/secondary-title&gt;&lt;/titles&gt;&lt;periodical&gt;&lt;full-title&gt;Environmental Modelling &amp;amp; Software&lt;/full-title&gt;&lt;/periodical&gt;&lt;pages&gt;148-166&lt;/pages&gt;&lt;volume&gt;73&lt;/volume&gt;&lt;keywords&gt;&lt;keyword&gt;Water quality&lt;/keyword&gt;&lt;keyword&gt;Bootstrap&lt;/keyword&gt;&lt;keyword&gt;Trend&lt;/keyword&gt;&lt;keyword&gt;Uncertainty analysis&lt;/keyword&gt;&lt;/keywords&gt;&lt;dates&gt;&lt;year&gt;2015&lt;/year&gt;&lt;pub-dates&gt;&lt;date&gt;2015/11/01/&lt;/date&gt;&lt;/pub-dates&gt;&lt;/dates&gt;&lt;isbn&gt;1364-8152&lt;/isbn&gt;&lt;urls&gt;&lt;related-urls&gt;&lt;url&gt;https://www.sciencedirect.com/science/article/pii/S1364815215300220&lt;/url&gt;&lt;/related-urls&gt;&lt;/urls&gt;&lt;electronic-resource-num&gt;https://doi.org/10.1016/j.envsoft.2015.07.017&lt;/electronic-resource-num&gt;&lt;/record&gt;&lt;/Cite&gt;&lt;/EndNote&gt;</w:instrText>
      </w:r>
      <w:r w:rsidR="009A5F0C">
        <w:rPr>
          <w:rFonts w:eastAsiaTheme="minorEastAsia"/>
        </w:rPr>
        <w:fldChar w:fldCharType="separate"/>
      </w:r>
      <w:r w:rsidR="009A5F0C">
        <w:rPr>
          <w:rFonts w:eastAsiaTheme="minorEastAsia"/>
          <w:noProof/>
        </w:rPr>
        <w:t>(Hirsch, Archfield, &amp; De Cicco, 2015)</w:t>
      </w:r>
      <w:r w:rsidR="009A5F0C">
        <w:rPr>
          <w:rFonts w:eastAsiaTheme="minorEastAsia"/>
        </w:rPr>
        <w:fldChar w:fldCharType="end"/>
      </w:r>
      <w:r w:rsidR="009A5F0C">
        <w:rPr>
          <w:rFonts w:eastAsiaTheme="minorEastAsia"/>
        </w:rPr>
        <w:t xml:space="preserve">. From this package, a bootstrap method supplied a likelihood statistic for all the estimated FN trends. This method provides 1) an indication of whether the null hypothesis, no trend over the period, should be rejected and 2) a measure of the estimated trend strength as described by a trend descriptor. For example, a trend (upward or downward) with a likelihood statistic between 0.95 and 1.0 would be described as “highly </w:t>
      </w:r>
      <w:r w:rsidR="009A5F0C">
        <w:rPr>
          <w:rFonts w:eastAsiaTheme="minorEastAsia"/>
        </w:rPr>
        <w:lastRenderedPageBreak/>
        <w:t xml:space="preserve">likely”, while a likelihood statistic of less than 0.05 would be described as “highly unlikely”. Further details on trend descriptors can be found in </w:t>
      </w:r>
      <w:r w:rsidR="0047363D">
        <w:rPr>
          <w:rFonts w:eastAsiaTheme="minorEastAsia"/>
        </w:rPr>
        <w:fldChar w:fldCharType="begin"/>
      </w:r>
      <w:r w:rsidR="0047363D">
        <w:rPr>
          <w:rFonts w:eastAsiaTheme="minorEastAsia"/>
        </w:rPr>
        <w:instrText xml:space="preserve"> ADDIN EN.CITE &lt;EndNote&gt;&lt;Cite AuthorYear="1"&gt;&lt;Author&gt;Hicks&lt;/Author&gt;&lt;Year&gt;2023&lt;/Year&gt;&lt;RecNum&gt;16962&lt;/RecNum&gt;&lt;DisplayText&gt;Hicks, Crain, and Segrest (2023)&lt;/DisplayText&gt;&lt;record&gt;&lt;rec-number&gt;16962&lt;/rec-number&gt;&lt;foreign-keys&gt;&lt;key app="EN" db-id="vxf5p2xpuads9deaf5xvd2ri20s0at2spve5" timestamp="1692195275"&gt;16962&lt;/key&gt;&lt;/foreign-keys&gt;&lt;ref-type name="Report"&gt;27&lt;/ref-type&gt;&lt;contributors&gt;&lt;authors&gt;&lt;author&gt;Hicks, Matthew B.&lt;/author&gt;&lt;author&gt;Crain, Angela S.&lt;/author&gt;&lt;author&gt;Segrest, Natalie G.&lt;/author&gt;&lt;/authors&gt;&lt;tertiary-authors&gt;&lt;author&gt;U. S. Geological Survey&lt;/author&gt;&lt;/tertiary-authors&gt;&lt;/contributors&gt;&lt;titles&gt;&lt;title&gt;Status and trends of total nitrogen and total phosphorus concentrations, loads, and yields in streams of Mississippi, water years 2008–18&lt;/title&gt;&lt;secondary-title&gt;Scientific Investigations Report&lt;/secondary-title&gt;&lt;/titles&gt;&lt;pages&gt;92&lt;/pages&gt;&lt;dates&gt;&lt;year&gt;2023&lt;/year&gt;&lt;/dates&gt;&lt;pub-location&gt;Reston, VA&lt;/pub-location&gt;&lt;isbn&gt;2023-5003&lt;/isbn&gt;&lt;work-type&gt;Report&lt;/work-type&gt;&lt;urls&gt;&lt;related-urls&gt;&lt;url&gt;http://pubs.er.usgs.gov/publication/sir20235003&lt;/url&gt;&lt;/related-urls&gt;&lt;/urls&gt;&lt;electronic-resource-num&gt;10.3133/sir20235003&lt;/electronic-resource-num&gt;&lt;remote-database-name&gt;USGS Publications Warehouse&lt;/remote-database-name&gt;&lt;language&gt;English&lt;/language&gt;&lt;/record&gt;&lt;/Cite&gt;&lt;/EndNote&gt;</w:instrText>
      </w:r>
      <w:r w:rsidR="0047363D">
        <w:rPr>
          <w:rFonts w:eastAsiaTheme="minorEastAsia"/>
        </w:rPr>
        <w:fldChar w:fldCharType="separate"/>
      </w:r>
      <w:r w:rsidR="0047363D">
        <w:rPr>
          <w:rFonts w:eastAsiaTheme="minorEastAsia"/>
          <w:noProof/>
        </w:rPr>
        <w:t>Hicks, Crain, and Segrest (2023)</w:t>
      </w:r>
      <w:r w:rsidR="0047363D">
        <w:rPr>
          <w:rFonts w:eastAsiaTheme="minorEastAsia"/>
        </w:rPr>
        <w:fldChar w:fldCharType="end"/>
      </w:r>
      <w:r w:rsidR="0047363D">
        <w:rPr>
          <w:rFonts w:eastAsiaTheme="minorEastAsia"/>
        </w:rPr>
        <w:t xml:space="preserve">. </w:t>
      </w:r>
    </w:p>
    <w:p w14:paraId="723C3D0B" w14:textId="4D90960C" w:rsidR="0061184F" w:rsidRDefault="0047363D" w:rsidP="0061184F">
      <w:pPr>
        <w:ind w:firstLine="720"/>
      </w:pPr>
      <w:r>
        <w:t xml:space="preserve">In addition to the trends in annual FN values from 2008-2022, annual SRP and TP trends and their </w:t>
      </w:r>
      <w:r w:rsidR="001F4D6F">
        <w:t>uncertainty</w:t>
      </w:r>
      <w:r>
        <w:t xml:space="preserve"> were also </w:t>
      </w:r>
      <w:r w:rsidR="001F4D6F">
        <w:t xml:space="preserve">estimated for the recent period from 2015-2022. Starting in 2015, the State of Ohio implemented </w:t>
      </w:r>
      <w:r w:rsidR="000C186C">
        <w:t>regulations for fertilizer and manure application in the</w:t>
      </w:r>
      <w:r w:rsidR="001F4D6F">
        <w:t xml:space="preserve"> Western </w:t>
      </w:r>
      <w:r w:rsidR="000C186C">
        <w:t>Lake Erie Basin (</w:t>
      </w:r>
      <w:r w:rsidR="009E4B95" w:rsidRPr="009E4B95">
        <w:t>Section 905.326: Application of fertilizer in western basin. https://codes.ohio.gov/ohio-revised-code/section-905.326</w:t>
      </w:r>
      <w:r w:rsidR="000C186C">
        <w:t xml:space="preserve">). Comparing the recent trends to the longer-term trends has the potential to elucidate the influence of these new regulations. Because WRTDS does not assume linearity of changes over time, rate of change can be compared between different parts of the record </w:t>
      </w:r>
      <w:r w:rsidR="000C186C">
        <w:fldChar w:fldCharType="begin"/>
      </w:r>
      <w:r w:rsidR="000C186C">
        <w:instrText xml:space="preserve"> ADDIN EN.CITE &lt;EndNote&gt;&lt;Cite&gt;&lt;Author&gt;Sprague&lt;/Author&gt;&lt;Year&gt;2011&lt;/Year&gt;&lt;RecNum&gt;16961&lt;/RecNum&gt;&lt;DisplayText&gt;(Sprague et al., 2011)&lt;/DisplayText&gt;&lt;record&gt;&lt;rec-number&gt;16961&lt;/rec-number&gt;&lt;foreign-keys&gt;&lt;key app="EN" db-id="vxf5p2xpuads9deaf5xvd2ri20s0at2spve5" timestamp="1692041725"&gt;16961&lt;/key&gt;&lt;/foreign-keys&gt;&lt;ref-type name="Journal Article"&gt;17&lt;/ref-type&gt;&lt;contributors&gt;&lt;authors&gt;&lt;author&gt;Sprague, Lori A.&lt;/author&gt;&lt;author&gt;Hirsch, Robert M.&lt;/author&gt;&lt;author&gt;Aulenbach, Brent T.&lt;/author&gt;&lt;/authors&gt;&lt;/contributors&gt;&lt;titles&gt;&lt;title&gt;Nitrate in the Mississippi River and Its Tributaries, 1980 to 2008: Are We Making Progress?&lt;/title&gt;&lt;secondary-title&gt;Environmental Science &amp;amp; Technology&lt;/secondary-title&gt;&lt;/titles&gt;&lt;periodical&gt;&lt;full-title&gt;Environmental science &amp;amp; technology&lt;/full-title&gt;&lt;/periodical&gt;&lt;pages&gt;7209-7216&lt;/pages&gt;&lt;volume&gt;45&lt;/volume&gt;&lt;number&gt;17&lt;/number&gt;&lt;dates&gt;&lt;year&gt;2011&lt;/year&gt;&lt;pub-dates&gt;&lt;date&gt;2011/09/01&lt;/date&gt;&lt;/pub-dates&gt;&lt;/dates&gt;&lt;publisher&gt;American Chemical Society&lt;/publisher&gt;&lt;isbn&gt;0013-936X&lt;/isbn&gt;&lt;urls&gt;&lt;related-urls&gt;&lt;url&gt;https://doi.org/10.1021/es201221s&lt;/url&gt;&lt;/related-urls&gt;&lt;/urls&gt;&lt;electronic-resource-num&gt;10.1021/es201221s&lt;/electronic-resource-num&gt;&lt;/record&gt;&lt;/Cite&gt;&lt;/EndNote&gt;</w:instrText>
      </w:r>
      <w:r w:rsidR="000C186C">
        <w:fldChar w:fldCharType="separate"/>
      </w:r>
      <w:r w:rsidR="000C186C">
        <w:rPr>
          <w:noProof/>
        </w:rPr>
        <w:t>(Sprague et al., 2011)</w:t>
      </w:r>
      <w:r w:rsidR="000C186C">
        <w:fldChar w:fldCharType="end"/>
      </w:r>
      <w:r w:rsidR="000C186C">
        <w:t>.</w:t>
      </w:r>
      <w:r w:rsidR="0061184F">
        <w:t xml:space="preserve"> </w:t>
      </w:r>
      <w:r w:rsidR="000C186C" w:rsidRPr="007D01A0">
        <w:t xml:space="preserve">Seasonal trends were </w:t>
      </w:r>
      <w:r w:rsidR="000C186C">
        <w:t xml:space="preserve">also estimated for both the longer-term and recent periods </w:t>
      </w:r>
      <w:r w:rsidR="000C186C" w:rsidRPr="007D01A0">
        <w:t xml:space="preserve">to </w:t>
      </w:r>
      <w:r w:rsidR="000C186C">
        <w:t>identify</w:t>
      </w:r>
      <w:r w:rsidR="000C186C" w:rsidRPr="007D01A0">
        <w:t xml:space="preserve"> when during the year that changes</w:t>
      </w:r>
      <w:r w:rsidR="000C186C">
        <w:t xml:space="preserve"> in water quality</w:t>
      </w:r>
      <w:r w:rsidR="000C186C" w:rsidRPr="007D01A0">
        <w:t xml:space="preserve"> were occuring. For the seasonal analysis, the WY was split into 4 separate seasons: October – November (Fall), December – February (Winter), March – July (Spring), August – September (Summer; Fall). Spring was set for March 1 through July 31 because spring phosphorus loads have been found to correlate to the intensity of the HAB in the Western Lake Erie basin </w:t>
      </w:r>
      <w:r w:rsidR="000C186C" w:rsidRPr="007D01A0">
        <w:fldChar w:fldCharType="begin"/>
      </w:r>
      <w:r w:rsidR="000C186C" w:rsidRPr="007D01A0">
        <w:instrText xml:space="preserve"> ADDIN EN.CITE &lt;EndNote&gt;&lt;Cite&gt;&lt;Author&gt;Annex 4&lt;/Author&gt;&lt;Year&gt;2015&lt;/Year&gt;&lt;RecNum&gt;16934&lt;/RecNum&gt;&lt;DisplayText&gt;(Annex 4, 2015)&lt;/DisplayText&gt;&lt;record&gt;&lt;rec-number&gt;16934&lt;/rec-number&gt;&lt;foreign-keys&gt;&lt;key app="EN" db-id="vxf5p2xpuads9deaf5xvd2ri20s0at2spve5" timestamp="1674831871"&gt;16934&lt;/key&gt;&lt;/foreign-keys&gt;&lt;ref-type name="Government Document"&gt;46&lt;/ref-type&gt;&lt;contributors&gt;&lt;authors&gt;&lt;author&gt;Annex 4,&lt;/author&gt;&lt;/authors&gt;&lt;/contributors&gt;&lt;titles&gt;&lt;title&gt;Recommended phosphorus loading targets for Lake Erie. Annex 4 Objectives and Targets Task Team Final Report to the Nutrients Annex Subcommittee&lt;/title&gt;&lt;/titles&gt;&lt;dates&gt;&lt;year&gt;2015&lt;/year&gt;&lt;/dates&gt;&lt;urls&gt;&lt;/urls&gt;&lt;/record&gt;&lt;/Cite&gt;&lt;/EndNote&gt;</w:instrText>
      </w:r>
      <w:r w:rsidR="000C186C" w:rsidRPr="007D01A0">
        <w:fldChar w:fldCharType="separate"/>
      </w:r>
      <w:r w:rsidR="000C186C" w:rsidRPr="007D01A0">
        <w:rPr>
          <w:noProof/>
        </w:rPr>
        <w:t>(Annex 4, 2015)</w:t>
      </w:r>
      <w:r w:rsidR="000C186C" w:rsidRPr="007D01A0">
        <w:fldChar w:fldCharType="end"/>
      </w:r>
      <w:r w:rsidR="000C186C" w:rsidRPr="007D01A0">
        <w:t>.</w:t>
      </w:r>
      <w:r w:rsidR="000C186C">
        <w:t xml:space="preserve"> </w:t>
      </w:r>
    </w:p>
    <w:p w14:paraId="2A89F667" w14:textId="3838B31D" w:rsidR="0047363D" w:rsidRPr="000C186C" w:rsidRDefault="000C186C" w:rsidP="000C186C">
      <w:pPr>
        <w:ind w:firstLine="720"/>
      </w:pPr>
      <w:r>
        <w:t xml:space="preserve">We used the </w:t>
      </w:r>
      <w:r w:rsidR="0047363D">
        <w:t>rate of change in percent per year</w:t>
      </w:r>
      <w:r>
        <w:t xml:space="preserve"> to compare FN trends across different periods:</w:t>
      </w:r>
    </w:p>
    <w:p w14:paraId="70D5EFA6" w14:textId="15BEFFFB" w:rsidR="0047363D" w:rsidRPr="00B04CD5" w:rsidRDefault="0047363D" w:rsidP="000C186C">
      <w:pPr>
        <w:ind w:firstLine="720"/>
      </w:pPr>
      <w:r>
        <w:t>Rate of change in percent per year</w:t>
      </w:r>
      <w:r w:rsidR="000C186C">
        <w:t xml:space="preserve"> </w:t>
      </w:r>
      <w: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r>
              <w:rPr>
                <w:rFonts w:ascii="Cambria Math" w:hAnsi="Cambria Math"/>
              </w:rPr>
              <m:t>*100</m:t>
            </m:r>
          </m:e>
        </m:d>
        <m:r>
          <w:rPr>
            <w:rFonts w:ascii="Cambria Math" w:hAnsi="Cambria Math"/>
          </w:rPr>
          <m:t>/n</m:t>
        </m:r>
      </m:oMath>
    </w:p>
    <w:p w14:paraId="5806DD0D" w14:textId="239B2F67" w:rsidR="00D22C5D" w:rsidRPr="000C186C" w:rsidRDefault="000C186C" w:rsidP="000C186C">
      <w:pPr>
        <w:rPr>
          <w:rFonts w:eastAsiaTheme="minorEastAsia"/>
        </w:rPr>
      </w:pPr>
      <w:r>
        <w:rPr>
          <w:rFonts w:eastAsiaTheme="minorEastAsia"/>
        </w:rPr>
        <w:t xml:space="preserve">where, </w:t>
      </w:r>
      <w:r w:rsidR="0047363D">
        <w:rPr>
          <w:rFonts w:eastAsiaTheme="minorEastAsia"/>
          <w:i/>
          <w:iCs/>
        </w:rPr>
        <w:t>n</w:t>
      </w:r>
      <w:r w:rsidR="0047363D">
        <w:rPr>
          <w:rFonts w:eastAsiaTheme="minorEastAsia"/>
        </w:rPr>
        <w:t xml:space="preserve"> is </w:t>
      </w:r>
      <w:r w:rsidR="0047363D">
        <w:rPr>
          <w:rFonts w:eastAsiaTheme="minorEastAsia"/>
          <w:i/>
          <w:iCs/>
        </w:rPr>
        <w:t>t</w:t>
      </w:r>
      <w:r w:rsidR="0047363D">
        <w:rPr>
          <w:rFonts w:eastAsiaTheme="minorEastAsia"/>
          <w:i/>
          <w:iCs/>
          <w:vertAlign w:val="subscript"/>
        </w:rPr>
        <w:t>2</w:t>
      </w:r>
      <w:r w:rsidR="0047363D">
        <w:rPr>
          <w:rFonts w:eastAsiaTheme="minorEastAsia"/>
          <w:i/>
          <w:iCs/>
        </w:rPr>
        <w:t xml:space="preserve"> – t</w:t>
      </w:r>
      <w:r w:rsidR="0047363D">
        <w:rPr>
          <w:rFonts w:eastAsiaTheme="minorEastAsia"/>
          <w:i/>
          <w:iCs/>
          <w:vertAlign w:val="subscript"/>
        </w:rPr>
        <w:t>1</w:t>
      </w:r>
      <w:r w:rsidR="0047363D">
        <w:rPr>
          <w:rFonts w:eastAsiaTheme="minorEastAsia"/>
        </w:rPr>
        <w:t xml:space="preserve">. </w:t>
      </w:r>
      <w:r w:rsidR="0061184F">
        <w:rPr>
          <w:rFonts w:eastAsiaTheme="minorEastAsia"/>
        </w:rPr>
        <w:t xml:space="preserve">To examine changes in SRP and TP trends in recent years, </w:t>
      </w:r>
      <w:r w:rsidR="0061184F">
        <w:t xml:space="preserve">we used the difference in the rate of change between the recent trend and the whole period (2015 to 2022 minus 2008 to 2022). Using this methodology, </w:t>
      </w:r>
      <w:r w:rsidR="001B723E">
        <w:t>negative</w:t>
      </w:r>
      <w:r w:rsidR="0061184F">
        <w:t xml:space="preserve"> values indicate</w:t>
      </w:r>
      <w:r w:rsidR="001B723E">
        <w:t>d</w:t>
      </w:r>
      <w:r w:rsidR="0061184F">
        <w:t xml:space="preserve"> that </w:t>
      </w:r>
      <w:r w:rsidR="001B723E">
        <w:t xml:space="preserve">there has been </w:t>
      </w:r>
      <w:r w:rsidR="001B723E">
        <w:lastRenderedPageBreak/>
        <w:t>eithe</w:t>
      </w:r>
      <w:r w:rsidR="00990397">
        <w:t>r a) a negative trend or b) a weaker positive</w:t>
      </w:r>
      <w:r w:rsidR="0061184F">
        <w:t xml:space="preserve"> trend</w:t>
      </w:r>
      <w:r w:rsidR="001B723E">
        <w:t xml:space="preserve"> </w:t>
      </w:r>
      <w:r w:rsidR="0061184F">
        <w:t xml:space="preserve">in the past 7 years. </w:t>
      </w:r>
      <w:r w:rsidR="001B723E">
        <w:t>While positive</w:t>
      </w:r>
      <w:r w:rsidR="0061184F">
        <w:t xml:space="preserve"> values</w:t>
      </w:r>
      <w:r w:rsidR="001B723E" w:rsidRPr="001B723E">
        <w:t xml:space="preserve"> </w:t>
      </w:r>
      <w:r w:rsidR="001B723E">
        <w:t>indicated that there has been either a) a weaker negative trend or b) a positive trend in the past 7 years.</w:t>
      </w:r>
    </w:p>
    <w:p w14:paraId="5757C9EB" w14:textId="41262C47" w:rsidR="000C186C" w:rsidRPr="000C186C" w:rsidRDefault="000C186C" w:rsidP="004935D5">
      <w:pPr>
        <w:ind w:firstLine="432"/>
      </w:pPr>
      <w:r w:rsidRPr="003C6EFE">
        <w:t>Model performance evaluations, including a visual assessment of the model fit and the detection of bias in residuals were completed,</w:t>
      </w:r>
      <w:r>
        <w:t xml:space="preserve"> and deemed acceptable.</w:t>
      </w:r>
      <w:r w:rsidRPr="003C6EFE">
        <w:t xml:space="preserve"> All WRTDS models were run at the daily time step and the concentrations and loads were aggregated to seasonal</w:t>
      </w:r>
      <w:r>
        <w:t xml:space="preserve"> </w:t>
      </w:r>
      <w:r w:rsidRPr="003C6EFE">
        <w:t>or annual means.</w:t>
      </w:r>
      <w:r>
        <w:t xml:space="preserve"> The annual FN and Kalman filter flux estimates were converted to common units (kg/km</w:t>
      </w:r>
      <w:r>
        <w:rPr>
          <w:vertAlign w:val="superscript"/>
        </w:rPr>
        <w:t>2</w:t>
      </w:r>
      <w:r>
        <w:t xml:space="preserve">). </w:t>
      </w:r>
      <w:r w:rsidRPr="000C186C">
        <w:t>All analyses were conducted in the R statistical environment</w:t>
      </w:r>
      <w:r w:rsidR="004935D5">
        <w:t xml:space="preserve"> </w:t>
      </w:r>
      <w:r w:rsidR="004935D5">
        <w:fldChar w:fldCharType="begin"/>
      </w:r>
      <w:r w:rsidR="004935D5">
        <w:instrText xml:space="preserve"> ADDIN EN.CITE &lt;EndNote&gt;&lt;Cite&gt;&lt;Author&gt;R Core Team&lt;/Author&gt;&lt;Year&gt;2022&lt;/Year&gt;&lt;RecNum&gt;16865&lt;/RecNum&gt;&lt;DisplayText&gt;(R Core Team, 2022)&lt;/DisplayText&gt;&lt;record&gt;&lt;rec-number&gt;16865&lt;/rec-number&gt;&lt;foreign-keys&gt;&lt;key app="EN" db-id="vxf5p2xpuads9deaf5xvd2ri20s0at2spve5" timestamp="1670346407"&gt;16865&lt;/key&gt;&lt;/foreign-keys&gt;&lt;ref-type name="Computer Program"&gt;9&lt;/ref-type&gt;&lt;contributors&gt;&lt;authors&gt;&lt;author&gt;R Core Team,&lt;/author&gt;&lt;/authors&gt;&lt;/contributors&gt;&lt;titles&gt;&lt;title&gt;R: A Language and Environment for Statistical Computing&lt;/title&gt;&lt;/titles&gt;&lt;edition&gt;4.1.3&lt;/edition&gt;&lt;dates&gt;&lt;year&gt;2022&lt;/year&gt;&lt;/dates&gt;&lt;pub-location&gt;Vienna, Austria&lt;/pub-location&gt;&lt;publisher&gt;R Foundation for Statistical Computing&lt;/publisher&gt;&lt;urls&gt;&lt;related-urls&gt;&lt;url&gt;https://www.R-project.org/&lt;/url&gt;&lt;/related-urls&gt;&lt;/urls&gt;&lt;/record&gt;&lt;/Cite&gt;&lt;/EndNote&gt;</w:instrText>
      </w:r>
      <w:r w:rsidR="004935D5">
        <w:fldChar w:fldCharType="separate"/>
      </w:r>
      <w:r w:rsidR="004935D5">
        <w:rPr>
          <w:noProof/>
        </w:rPr>
        <w:t>(R Core Team, 2022)</w:t>
      </w:r>
      <w:r w:rsidR="004935D5">
        <w:fldChar w:fldCharType="end"/>
      </w:r>
      <w:r w:rsidRPr="000C186C">
        <w:t>.</w:t>
      </w:r>
    </w:p>
    <w:p w14:paraId="0C7C64FC" w14:textId="2A14117B" w:rsidR="00001EA6" w:rsidRDefault="007E31AC" w:rsidP="0085588B">
      <w:pPr>
        <w:pStyle w:val="Heading1"/>
      </w:pPr>
      <w:r>
        <w:t>Results</w:t>
      </w:r>
      <w:r w:rsidR="00450C40">
        <w:t xml:space="preserve"> &amp; Discussion</w:t>
      </w:r>
    </w:p>
    <w:p w14:paraId="15734AAA" w14:textId="063DADB1" w:rsidR="00665B3B" w:rsidRDefault="00D9268F" w:rsidP="001F0266">
      <w:pPr>
        <w:pStyle w:val="Heading2"/>
      </w:pPr>
      <w:r>
        <w:t>Annual c</w:t>
      </w:r>
      <w:r w:rsidR="00665B3B">
        <w:t xml:space="preserve">hanges in </w:t>
      </w:r>
      <w:r w:rsidR="00BB60DF">
        <w:t>P</w:t>
      </w:r>
      <w:r w:rsidR="00665B3B">
        <w:t xml:space="preserve"> </w:t>
      </w:r>
      <w:r w:rsidR="00BB60DF">
        <w:t>in WLEB streams and rivers</w:t>
      </w:r>
      <w:r w:rsidR="00E42991">
        <w:t>, 2008-2022</w:t>
      </w:r>
    </w:p>
    <w:p w14:paraId="05A5C1DC" w14:textId="4F49F3FA" w:rsidR="008A7740" w:rsidRDefault="007251AF" w:rsidP="00EE6865">
      <w:pPr>
        <w:ind w:firstLine="720"/>
      </w:pPr>
      <w:r>
        <w:t>For the period from 2008 to 2022, e</w:t>
      </w:r>
      <w:r w:rsidR="00134E80">
        <w:t>xamination of mean annual</w:t>
      </w:r>
      <w:r w:rsidR="001F0266">
        <w:t xml:space="preserve"> FN</w:t>
      </w:r>
      <w:r w:rsidR="00134E80">
        <w:t xml:space="preserve"> concentrations of SRP indicated that four of the seven sites had a highly likely upward trends </w:t>
      </w:r>
      <w:r w:rsidR="00EE6865">
        <w:t xml:space="preserve">with percent changes </w:t>
      </w:r>
      <w:r w:rsidR="00134E80">
        <w:t>ranging from 33% at Sandusky to 128% at Blanchard (Table S1).</w:t>
      </w:r>
      <w:r w:rsidR="00AB4E67">
        <w:t xml:space="preserve"> T</w:t>
      </w:r>
      <w:r w:rsidR="00134E80">
        <w:t>he Maumee site had a</w:t>
      </w:r>
      <w:r w:rsidR="00AB4E67">
        <w:t xml:space="preserve"> slight upward trend </w:t>
      </w:r>
      <w:r w:rsidR="00EE6865">
        <w:t>with a percent change</w:t>
      </w:r>
      <w:r w:rsidR="00AB4E67">
        <w:t xml:space="preserve"> 0.5%, while the Tiffin and Honey sites each had likely downward trends </w:t>
      </w:r>
      <w:r w:rsidR="00EE6865">
        <w:t>with percent changes of</w:t>
      </w:r>
      <w:r w:rsidR="00AB4E67">
        <w:t xml:space="preserve"> -7 and -10%, respectively. </w:t>
      </w:r>
      <w:r>
        <w:t>For annual FN fluxes of SRP, four of the seven sites had very likely to highly likely upward trends</w:t>
      </w:r>
      <w:r w:rsidR="00EE6865">
        <w:t xml:space="preserve"> with percent changes</w:t>
      </w:r>
      <w:r>
        <w:t xml:space="preserve"> ranging from 12% at Portage to 33% at Blanchard (Table S2).</w:t>
      </w:r>
      <w:r w:rsidR="00E42991">
        <w:t xml:space="preserve"> The Honey and Tiffin sites had upward (1%) and downward (-7%) trends, but in both cases an upward trend was as likely as a </w:t>
      </w:r>
      <w:r w:rsidR="00EE6865">
        <w:t xml:space="preserve">downward </w:t>
      </w:r>
      <w:r w:rsidR="00E42991">
        <w:t>trend. Only the Maumee site had a likely downward trend</w:t>
      </w:r>
      <w:r w:rsidR="00EE6865">
        <w:t xml:space="preserve"> with a percent change of </w:t>
      </w:r>
      <w:r w:rsidR="00E42991">
        <w:t>-6%.</w:t>
      </w:r>
      <w:r w:rsidR="00EE6865">
        <w:t xml:space="preserve"> When examining TP trends f</w:t>
      </w:r>
      <w:r w:rsidR="001F0266">
        <w:t xml:space="preserve">rom 2008 to 2022, mean annual FN concentrations of TP </w:t>
      </w:r>
      <w:r w:rsidR="00EE6865">
        <w:t xml:space="preserve">had likely or highly likely upward trends at all seven sites with percent changes ranging from 6% at the Maumee site to 48% at the Portage site (Table S3). Similarly, for annual FN TP fluxes, all </w:t>
      </w:r>
      <w:r w:rsidR="00EE6865">
        <w:lastRenderedPageBreak/>
        <w:t>seven of the sites had either very likely or highly likely upward trends. Across the seven sites, percent changes ranged from 10% at Maumee to 50% at Raisin (Table S4).</w:t>
      </w:r>
      <w:r w:rsidR="008A7740">
        <w:t xml:space="preserve"> </w:t>
      </w:r>
    </w:p>
    <w:p w14:paraId="6321A272" w14:textId="5DDE89A5" w:rsidR="0073503F" w:rsidRDefault="0073503F" w:rsidP="0073503F">
      <w:r>
        <w:t>Table X:</w:t>
      </w: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4536A7" w:rsidRPr="004536A7" w14:paraId="314978EB" w14:textId="77777777" w:rsidTr="00940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Merge w:val="restart"/>
          </w:tcPr>
          <w:p w14:paraId="6F48C6B9" w14:textId="34BFD76C" w:rsidR="004536A7" w:rsidRPr="004536A7" w:rsidRDefault="004536A7" w:rsidP="004536A7">
            <w:pPr>
              <w:jc w:val="center"/>
              <w:rPr>
                <w:rFonts w:cs="Times New Roman"/>
                <w:sz w:val="16"/>
                <w:szCs w:val="16"/>
              </w:rPr>
            </w:pPr>
            <w:r w:rsidRPr="004536A7">
              <w:rPr>
                <w:rFonts w:cs="Times New Roman"/>
                <w:sz w:val="16"/>
                <w:szCs w:val="16"/>
              </w:rPr>
              <w:t>Site</w:t>
            </w:r>
          </w:p>
        </w:tc>
        <w:tc>
          <w:tcPr>
            <w:tcW w:w="3506" w:type="dxa"/>
            <w:gridSpan w:val="3"/>
          </w:tcPr>
          <w:p w14:paraId="025A3DF1" w14:textId="61B146DE" w:rsidR="004536A7" w:rsidRPr="004536A7" w:rsidRDefault="004536A7" w:rsidP="004536A7">
            <w:pPr>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FN Conc</w:t>
            </w:r>
            <w:r>
              <w:rPr>
                <w:rFonts w:cs="Times New Roman"/>
                <w:sz w:val="16"/>
                <w:szCs w:val="16"/>
              </w:rPr>
              <w:t>entration of SRP</w:t>
            </w:r>
          </w:p>
        </w:tc>
        <w:tc>
          <w:tcPr>
            <w:tcW w:w="4676" w:type="dxa"/>
            <w:gridSpan w:val="4"/>
          </w:tcPr>
          <w:p w14:paraId="5ECE741E" w14:textId="5AC12AF8" w:rsidR="004536A7" w:rsidRPr="004536A7" w:rsidRDefault="004536A7" w:rsidP="004536A7">
            <w:pPr>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FN Flux</w:t>
            </w:r>
            <w:r>
              <w:rPr>
                <w:rFonts w:cs="Times New Roman"/>
                <w:sz w:val="16"/>
                <w:szCs w:val="16"/>
              </w:rPr>
              <w:t xml:space="preserve"> of SRP</w:t>
            </w:r>
          </w:p>
        </w:tc>
      </w:tr>
      <w:tr w:rsidR="004536A7" w:rsidRPr="004536A7" w14:paraId="3B25B8B7" w14:textId="77777777" w:rsidTr="0045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Merge/>
          </w:tcPr>
          <w:p w14:paraId="6AB096ED" w14:textId="289B486A" w:rsidR="004536A7" w:rsidRPr="004536A7" w:rsidRDefault="004536A7" w:rsidP="004536A7">
            <w:pPr>
              <w:jc w:val="center"/>
              <w:rPr>
                <w:rFonts w:cs="Times New Roman"/>
                <w:sz w:val="16"/>
                <w:szCs w:val="16"/>
              </w:rPr>
            </w:pPr>
          </w:p>
        </w:tc>
        <w:tc>
          <w:tcPr>
            <w:tcW w:w="1168" w:type="dxa"/>
            <w:vMerge w:val="restart"/>
          </w:tcPr>
          <w:p w14:paraId="139AEDD9" w14:textId="6B4664C1"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Annual mean in 2009, mg/L</w:t>
            </w:r>
          </w:p>
        </w:tc>
        <w:tc>
          <w:tcPr>
            <w:tcW w:w="2338" w:type="dxa"/>
            <w:gridSpan w:val="2"/>
          </w:tcPr>
          <w:p w14:paraId="4A98482E" w14:textId="7D2FB2DF"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Change, 2009 - 2021</w:t>
            </w:r>
          </w:p>
        </w:tc>
        <w:tc>
          <w:tcPr>
            <w:tcW w:w="1169" w:type="dxa"/>
            <w:vMerge w:val="restart"/>
          </w:tcPr>
          <w:p w14:paraId="4F15E7C0" w14:textId="2EA7DC3B"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Total annual flux in 2009, metric ton/yr</w:t>
            </w:r>
          </w:p>
        </w:tc>
        <w:tc>
          <w:tcPr>
            <w:tcW w:w="1169" w:type="dxa"/>
            <w:vMerge w:val="restart"/>
          </w:tcPr>
          <w:p w14:paraId="16687ED4" w14:textId="5F90A66D"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Total annual yield in 200</w:t>
            </w:r>
            <w:r w:rsidR="006F4FBA">
              <w:rPr>
                <w:rFonts w:cs="Times New Roman"/>
                <w:sz w:val="16"/>
                <w:szCs w:val="16"/>
              </w:rPr>
              <w:t>9</w:t>
            </w:r>
            <w:r w:rsidRPr="004536A7">
              <w:rPr>
                <w:rFonts w:cs="Times New Roman"/>
                <w:sz w:val="16"/>
                <w:szCs w:val="16"/>
              </w:rPr>
              <w:t>, kg/km</w:t>
            </w:r>
            <w:r w:rsidRPr="004536A7">
              <w:rPr>
                <w:rFonts w:cs="Times New Roman"/>
                <w:sz w:val="16"/>
                <w:szCs w:val="16"/>
                <w:vertAlign w:val="superscript"/>
              </w:rPr>
              <w:t>2</w:t>
            </w:r>
            <w:r w:rsidRPr="004536A7">
              <w:rPr>
                <w:rFonts w:cs="Times New Roman"/>
                <w:sz w:val="16"/>
                <w:szCs w:val="16"/>
              </w:rPr>
              <w:t>/yr</w:t>
            </w:r>
          </w:p>
        </w:tc>
        <w:tc>
          <w:tcPr>
            <w:tcW w:w="2338" w:type="dxa"/>
            <w:gridSpan w:val="2"/>
          </w:tcPr>
          <w:p w14:paraId="54B4E799" w14:textId="1CF0A665"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Change, 200</w:t>
            </w:r>
            <w:r>
              <w:rPr>
                <w:rFonts w:cs="Times New Roman"/>
                <w:sz w:val="16"/>
                <w:szCs w:val="16"/>
              </w:rPr>
              <w:t>9</w:t>
            </w:r>
            <w:r w:rsidRPr="004536A7">
              <w:rPr>
                <w:rFonts w:cs="Times New Roman"/>
                <w:sz w:val="16"/>
                <w:szCs w:val="16"/>
              </w:rPr>
              <w:t>-202</w:t>
            </w:r>
            <w:r>
              <w:rPr>
                <w:rFonts w:cs="Times New Roman"/>
                <w:sz w:val="16"/>
                <w:szCs w:val="16"/>
              </w:rPr>
              <w:t>1</w:t>
            </w:r>
          </w:p>
        </w:tc>
      </w:tr>
      <w:tr w:rsidR="004536A7" w:rsidRPr="004536A7" w14:paraId="3D39AB6C" w14:textId="77777777" w:rsidTr="004536A7">
        <w:tc>
          <w:tcPr>
            <w:cnfStyle w:val="001000000000" w:firstRow="0" w:lastRow="0" w:firstColumn="1" w:lastColumn="0" w:oddVBand="0" w:evenVBand="0" w:oddHBand="0" w:evenHBand="0" w:firstRowFirstColumn="0" w:firstRowLastColumn="0" w:lastRowFirstColumn="0" w:lastRowLastColumn="0"/>
            <w:tcW w:w="1168" w:type="dxa"/>
            <w:vMerge/>
          </w:tcPr>
          <w:p w14:paraId="312C200B" w14:textId="3651AA9B" w:rsidR="004536A7" w:rsidRPr="004536A7" w:rsidRDefault="004536A7" w:rsidP="004536A7">
            <w:pPr>
              <w:jc w:val="center"/>
              <w:rPr>
                <w:rFonts w:cs="Times New Roman"/>
                <w:sz w:val="16"/>
                <w:szCs w:val="16"/>
              </w:rPr>
            </w:pPr>
          </w:p>
        </w:tc>
        <w:tc>
          <w:tcPr>
            <w:tcW w:w="1168" w:type="dxa"/>
            <w:vMerge/>
          </w:tcPr>
          <w:p w14:paraId="04D61E7E" w14:textId="2016299C"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69" w:type="dxa"/>
          </w:tcPr>
          <w:p w14:paraId="255C68BE" w14:textId="38477CFD"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mg/L</w:t>
            </w:r>
          </w:p>
        </w:tc>
        <w:tc>
          <w:tcPr>
            <w:tcW w:w="1169" w:type="dxa"/>
          </w:tcPr>
          <w:p w14:paraId="652B17DD" w14:textId="6F5B3EF2"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w:t>
            </w:r>
          </w:p>
        </w:tc>
        <w:tc>
          <w:tcPr>
            <w:tcW w:w="1169" w:type="dxa"/>
            <w:vMerge/>
          </w:tcPr>
          <w:p w14:paraId="413F6721" w14:textId="1D6D18F1"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69" w:type="dxa"/>
            <w:vMerge/>
          </w:tcPr>
          <w:p w14:paraId="386441C5" w14:textId="67840267"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69" w:type="dxa"/>
          </w:tcPr>
          <w:p w14:paraId="793BE1CD" w14:textId="122BD3F1"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Metric ton/yr</w:t>
            </w:r>
          </w:p>
        </w:tc>
        <w:tc>
          <w:tcPr>
            <w:tcW w:w="1169" w:type="dxa"/>
          </w:tcPr>
          <w:p w14:paraId="0952815E" w14:textId="0008E70A"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w:t>
            </w:r>
          </w:p>
        </w:tc>
      </w:tr>
      <w:tr w:rsidR="004536A7" w:rsidRPr="004536A7" w14:paraId="0606CF3B" w14:textId="77777777" w:rsidTr="0045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68721185" w14:textId="1E21B389" w:rsidR="004536A7" w:rsidRPr="004536A7" w:rsidRDefault="004536A7" w:rsidP="004536A7">
            <w:pPr>
              <w:rPr>
                <w:rFonts w:cs="Times New Roman"/>
                <w:sz w:val="16"/>
                <w:szCs w:val="16"/>
              </w:rPr>
            </w:pPr>
            <w:r w:rsidRPr="004536A7">
              <w:rPr>
                <w:rFonts w:cs="Times New Roman"/>
                <w:sz w:val="16"/>
                <w:szCs w:val="16"/>
              </w:rPr>
              <w:t>Maumee</w:t>
            </w:r>
          </w:p>
        </w:tc>
        <w:tc>
          <w:tcPr>
            <w:tcW w:w="1168" w:type="dxa"/>
          </w:tcPr>
          <w:p w14:paraId="7B16F97F" w14:textId="0C8BE1D3"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0.07</w:t>
            </w:r>
          </w:p>
        </w:tc>
        <w:tc>
          <w:tcPr>
            <w:tcW w:w="1169" w:type="dxa"/>
          </w:tcPr>
          <w:p w14:paraId="3B6E89B4" w14:textId="0A901119" w:rsidR="004536A7" w:rsidRPr="004536A7" w:rsidRDefault="006F4FBA"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color w:val="000000"/>
                <w:sz w:val="16"/>
                <w:szCs w:val="16"/>
              </w:rPr>
              <w:t>&lt;</w:t>
            </w:r>
            <w:r w:rsidR="004536A7" w:rsidRPr="004536A7">
              <w:rPr>
                <w:rFonts w:cs="Times New Roman"/>
                <w:color w:val="000000"/>
                <w:sz w:val="16"/>
                <w:szCs w:val="16"/>
              </w:rPr>
              <w:t>0.00</w:t>
            </w:r>
            <w:r>
              <w:rPr>
                <w:rFonts w:cs="Times New Roman"/>
                <w:color w:val="000000"/>
                <w:sz w:val="16"/>
                <w:szCs w:val="16"/>
              </w:rPr>
              <w:t>5</w:t>
            </w:r>
          </w:p>
        </w:tc>
        <w:tc>
          <w:tcPr>
            <w:tcW w:w="1169" w:type="dxa"/>
          </w:tcPr>
          <w:p w14:paraId="1AA58EF1" w14:textId="6F8EBB79"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-0.4</w:t>
            </w:r>
          </w:p>
        </w:tc>
        <w:tc>
          <w:tcPr>
            <w:tcW w:w="1169" w:type="dxa"/>
          </w:tcPr>
          <w:p w14:paraId="5C697124" w14:textId="118D71D5"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60</w:t>
            </w:r>
            <w:r w:rsidR="006F4FBA">
              <w:rPr>
                <w:rFonts w:cs="Times New Roman"/>
                <w:color w:val="000000"/>
                <w:sz w:val="16"/>
                <w:szCs w:val="16"/>
              </w:rPr>
              <w:t>2</w:t>
            </w:r>
          </w:p>
        </w:tc>
        <w:tc>
          <w:tcPr>
            <w:tcW w:w="1169" w:type="dxa"/>
          </w:tcPr>
          <w:p w14:paraId="542657C1" w14:textId="19F1D513" w:rsidR="004536A7" w:rsidRPr="004536A7" w:rsidRDefault="006F4FBA"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36.7</w:t>
            </w:r>
          </w:p>
        </w:tc>
        <w:tc>
          <w:tcPr>
            <w:tcW w:w="1169" w:type="dxa"/>
          </w:tcPr>
          <w:p w14:paraId="5E01739C" w14:textId="6C37E73A"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-30</w:t>
            </w:r>
          </w:p>
        </w:tc>
        <w:tc>
          <w:tcPr>
            <w:tcW w:w="1169" w:type="dxa"/>
          </w:tcPr>
          <w:p w14:paraId="78BD021B" w14:textId="0784A5E1"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-4.9</w:t>
            </w:r>
          </w:p>
        </w:tc>
      </w:tr>
      <w:tr w:rsidR="004536A7" w:rsidRPr="004536A7" w14:paraId="3FB4D636" w14:textId="77777777" w:rsidTr="004536A7">
        <w:tc>
          <w:tcPr>
            <w:cnfStyle w:val="001000000000" w:firstRow="0" w:lastRow="0" w:firstColumn="1" w:lastColumn="0" w:oddVBand="0" w:evenVBand="0" w:oddHBand="0" w:evenHBand="0" w:firstRowFirstColumn="0" w:firstRowLastColumn="0" w:lastRowFirstColumn="0" w:lastRowLastColumn="0"/>
            <w:tcW w:w="1168" w:type="dxa"/>
          </w:tcPr>
          <w:p w14:paraId="4E48C301" w14:textId="082FE78B" w:rsidR="004536A7" w:rsidRPr="004536A7" w:rsidRDefault="004536A7" w:rsidP="004536A7">
            <w:pPr>
              <w:rPr>
                <w:rFonts w:cs="Times New Roman"/>
                <w:sz w:val="16"/>
                <w:szCs w:val="16"/>
              </w:rPr>
            </w:pPr>
            <w:r>
              <w:rPr>
                <w:rFonts w:cs="Times New Roman"/>
                <w:sz w:val="16"/>
                <w:szCs w:val="16"/>
              </w:rPr>
              <w:t xml:space="preserve">  </w:t>
            </w:r>
            <w:r w:rsidRPr="004536A7">
              <w:rPr>
                <w:rFonts w:cs="Times New Roman"/>
                <w:sz w:val="16"/>
                <w:szCs w:val="16"/>
              </w:rPr>
              <w:t>Tiffin</w:t>
            </w:r>
          </w:p>
        </w:tc>
        <w:tc>
          <w:tcPr>
            <w:tcW w:w="1168" w:type="dxa"/>
          </w:tcPr>
          <w:p w14:paraId="586DDC85" w14:textId="6D6303BD"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0.05</w:t>
            </w:r>
          </w:p>
        </w:tc>
        <w:tc>
          <w:tcPr>
            <w:tcW w:w="1169" w:type="dxa"/>
          </w:tcPr>
          <w:p w14:paraId="09B1CE62" w14:textId="78608BFD" w:rsidR="004536A7" w:rsidRPr="004536A7" w:rsidRDefault="006F4FBA"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color w:val="000000"/>
                <w:sz w:val="16"/>
                <w:szCs w:val="16"/>
              </w:rPr>
              <w:t>&lt;</w:t>
            </w:r>
            <w:r w:rsidR="004536A7" w:rsidRPr="004536A7">
              <w:rPr>
                <w:rFonts w:cs="Times New Roman"/>
                <w:color w:val="000000"/>
                <w:sz w:val="16"/>
                <w:szCs w:val="16"/>
              </w:rPr>
              <w:t>0.00</w:t>
            </w:r>
            <w:r>
              <w:rPr>
                <w:rFonts w:cs="Times New Roman"/>
                <w:color w:val="000000"/>
                <w:sz w:val="16"/>
                <w:szCs w:val="16"/>
              </w:rPr>
              <w:t>5</w:t>
            </w:r>
          </w:p>
        </w:tc>
        <w:tc>
          <w:tcPr>
            <w:tcW w:w="1169" w:type="dxa"/>
          </w:tcPr>
          <w:p w14:paraId="054746F1" w14:textId="0BBFDAFF"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-5.4</w:t>
            </w:r>
          </w:p>
        </w:tc>
        <w:tc>
          <w:tcPr>
            <w:tcW w:w="1169" w:type="dxa"/>
          </w:tcPr>
          <w:p w14:paraId="1A794E04" w14:textId="075D173E"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25.4</w:t>
            </w:r>
          </w:p>
        </w:tc>
        <w:tc>
          <w:tcPr>
            <w:tcW w:w="1169" w:type="dxa"/>
          </w:tcPr>
          <w:p w14:paraId="3AB2A75A" w14:textId="20092CDB" w:rsidR="004536A7" w:rsidRPr="004536A7" w:rsidRDefault="006F4FBA"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23.9</w:t>
            </w:r>
          </w:p>
        </w:tc>
        <w:tc>
          <w:tcPr>
            <w:tcW w:w="1169" w:type="dxa"/>
          </w:tcPr>
          <w:p w14:paraId="72CAEE80" w14:textId="3DD3DC07"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-1</w:t>
            </w:r>
          </w:p>
        </w:tc>
        <w:tc>
          <w:tcPr>
            <w:tcW w:w="1169" w:type="dxa"/>
          </w:tcPr>
          <w:p w14:paraId="6E2C974A" w14:textId="4E90FE3D"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-4.9</w:t>
            </w:r>
          </w:p>
        </w:tc>
      </w:tr>
      <w:tr w:rsidR="004536A7" w:rsidRPr="004536A7" w14:paraId="139F5E5E" w14:textId="77777777" w:rsidTr="0045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178AB7DA" w14:textId="15C7FE2A" w:rsidR="004536A7" w:rsidRPr="004536A7" w:rsidRDefault="004536A7" w:rsidP="004536A7">
            <w:pPr>
              <w:rPr>
                <w:rFonts w:cs="Times New Roman"/>
                <w:sz w:val="16"/>
                <w:szCs w:val="16"/>
              </w:rPr>
            </w:pPr>
            <w:r>
              <w:rPr>
                <w:rFonts w:cs="Times New Roman"/>
                <w:sz w:val="16"/>
                <w:szCs w:val="16"/>
              </w:rPr>
              <w:t xml:space="preserve">  </w:t>
            </w:r>
            <w:r w:rsidRPr="004536A7">
              <w:rPr>
                <w:rFonts w:cs="Times New Roman"/>
                <w:sz w:val="16"/>
                <w:szCs w:val="16"/>
              </w:rPr>
              <w:t>Blanchard</w:t>
            </w:r>
          </w:p>
        </w:tc>
        <w:tc>
          <w:tcPr>
            <w:tcW w:w="1168" w:type="dxa"/>
          </w:tcPr>
          <w:p w14:paraId="3FBBDEB1" w14:textId="1DB09DF7"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0.1</w:t>
            </w:r>
            <w:r w:rsidR="006F4FBA">
              <w:rPr>
                <w:rFonts w:cs="Times New Roman"/>
                <w:color w:val="000000"/>
                <w:sz w:val="16"/>
                <w:szCs w:val="16"/>
              </w:rPr>
              <w:t>2</w:t>
            </w:r>
          </w:p>
        </w:tc>
        <w:tc>
          <w:tcPr>
            <w:tcW w:w="1169" w:type="dxa"/>
          </w:tcPr>
          <w:p w14:paraId="255B047E" w14:textId="3667DE35"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0.12</w:t>
            </w:r>
          </w:p>
        </w:tc>
        <w:tc>
          <w:tcPr>
            <w:tcW w:w="1169" w:type="dxa"/>
          </w:tcPr>
          <w:p w14:paraId="2FC82799" w14:textId="0FB7EC83"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103.0</w:t>
            </w:r>
          </w:p>
        </w:tc>
        <w:tc>
          <w:tcPr>
            <w:tcW w:w="1169" w:type="dxa"/>
          </w:tcPr>
          <w:p w14:paraId="2CA3D98C" w14:textId="195148D1"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38.7</w:t>
            </w:r>
          </w:p>
        </w:tc>
        <w:tc>
          <w:tcPr>
            <w:tcW w:w="1169" w:type="dxa"/>
          </w:tcPr>
          <w:p w14:paraId="24DD95D8" w14:textId="40394337" w:rsidR="004536A7" w:rsidRPr="004536A7" w:rsidRDefault="006F4FBA"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43.2</w:t>
            </w:r>
          </w:p>
        </w:tc>
        <w:tc>
          <w:tcPr>
            <w:tcW w:w="1169" w:type="dxa"/>
          </w:tcPr>
          <w:p w14:paraId="63CA4BF8" w14:textId="03ACBD7B"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11</w:t>
            </w:r>
          </w:p>
        </w:tc>
        <w:tc>
          <w:tcPr>
            <w:tcW w:w="1169" w:type="dxa"/>
          </w:tcPr>
          <w:p w14:paraId="62D15464" w14:textId="73E4BC9E"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28.0</w:t>
            </w:r>
          </w:p>
        </w:tc>
      </w:tr>
      <w:tr w:rsidR="004536A7" w:rsidRPr="004536A7" w14:paraId="7680FEE7" w14:textId="77777777" w:rsidTr="004536A7">
        <w:tc>
          <w:tcPr>
            <w:cnfStyle w:val="001000000000" w:firstRow="0" w:lastRow="0" w:firstColumn="1" w:lastColumn="0" w:oddVBand="0" w:evenVBand="0" w:oddHBand="0" w:evenHBand="0" w:firstRowFirstColumn="0" w:firstRowLastColumn="0" w:lastRowFirstColumn="0" w:lastRowLastColumn="0"/>
            <w:tcW w:w="1168" w:type="dxa"/>
          </w:tcPr>
          <w:p w14:paraId="2AD3D2DA" w14:textId="07D6AA2A" w:rsidR="004536A7" w:rsidRPr="004536A7" w:rsidRDefault="004536A7" w:rsidP="004536A7">
            <w:pPr>
              <w:rPr>
                <w:rFonts w:cs="Times New Roman"/>
                <w:sz w:val="16"/>
                <w:szCs w:val="16"/>
              </w:rPr>
            </w:pPr>
            <w:r w:rsidRPr="004536A7">
              <w:rPr>
                <w:rFonts w:cs="Times New Roman"/>
                <w:sz w:val="16"/>
                <w:szCs w:val="16"/>
              </w:rPr>
              <w:t>Sandusky</w:t>
            </w:r>
          </w:p>
        </w:tc>
        <w:tc>
          <w:tcPr>
            <w:tcW w:w="1168" w:type="dxa"/>
          </w:tcPr>
          <w:p w14:paraId="1B4CB8DC" w14:textId="6BD7702A"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0.05</w:t>
            </w:r>
          </w:p>
        </w:tc>
        <w:tc>
          <w:tcPr>
            <w:tcW w:w="1169" w:type="dxa"/>
          </w:tcPr>
          <w:p w14:paraId="695C8438" w14:textId="49C47B35"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0.01</w:t>
            </w:r>
          </w:p>
        </w:tc>
        <w:tc>
          <w:tcPr>
            <w:tcW w:w="1169" w:type="dxa"/>
          </w:tcPr>
          <w:p w14:paraId="1D49504E" w14:textId="76ABEF5F"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27.4</w:t>
            </w:r>
          </w:p>
        </w:tc>
        <w:tc>
          <w:tcPr>
            <w:tcW w:w="1169" w:type="dxa"/>
          </w:tcPr>
          <w:p w14:paraId="209A92C2" w14:textId="5E63429B"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124</w:t>
            </w:r>
          </w:p>
        </w:tc>
        <w:tc>
          <w:tcPr>
            <w:tcW w:w="1169" w:type="dxa"/>
          </w:tcPr>
          <w:p w14:paraId="64FCEED2" w14:textId="6A7899DD" w:rsidR="004536A7" w:rsidRPr="004536A7" w:rsidRDefault="006F4FBA"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38.3</w:t>
            </w:r>
          </w:p>
        </w:tc>
        <w:tc>
          <w:tcPr>
            <w:tcW w:w="1169" w:type="dxa"/>
          </w:tcPr>
          <w:p w14:paraId="5662E007" w14:textId="14EDCF5C"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23</w:t>
            </w:r>
          </w:p>
        </w:tc>
        <w:tc>
          <w:tcPr>
            <w:tcW w:w="1169" w:type="dxa"/>
          </w:tcPr>
          <w:p w14:paraId="2A396268" w14:textId="077A7DDF"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19.0</w:t>
            </w:r>
          </w:p>
        </w:tc>
      </w:tr>
      <w:tr w:rsidR="004536A7" w:rsidRPr="004536A7" w14:paraId="701C237A" w14:textId="77777777" w:rsidTr="0045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4DBFDCED" w14:textId="0788D85E" w:rsidR="004536A7" w:rsidRPr="004536A7" w:rsidRDefault="004536A7" w:rsidP="004536A7">
            <w:pPr>
              <w:rPr>
                <w:rFonts w:cs="Times New Roman"/>
                <w:sz w:val="16"/>
                <w:szCs w:val="16"/>
              </w:rPr>
            </w:pPr>
            <w:r>
              <w:rPr>
                <w:rFonts w:cs="Times New Roman"/>
                <w:sz w:val="16"/>
                <w:szCs w:val="16"/>
              </w:rPr>
              <w:t xml:space="preserve">  </w:t>
            </w:r>
            <w:r w:rsidRPr="004536A7">
              <w:rPr>
                <w:rFonts w:cs="Times New Roman"/>
                <w:sz w:val="16"/>
                <w:szCs w:val="16"/>
              </w:rPr>
              <w:t>Honey</w:t>
            </w:r>
          </w:p>
        </w:tc>
        <w:tc>
          <w:tcPr>
            <w:tcW w:w="1168" w:type="dxa"/>
          </w:tcPr>
          <w:p w14:paraId="548B576C" w14:textId="42F6E355"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0.08</w:t>
            </w:r>
          </w:p>
        </w:tc>
        <w:tc>
          <w:tcPr>
            <w:tcW w:w="1169" w:type="dxa"/>
          </w:tcPr>
          <w:p w14:paraId="00A5B696" w14:textId="11B785EF"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-0.01</w:t>
            </w:r>
          </w:p>
        </w:tc>
        <w:tc>
          <w:tcPr>
            <w:tcW w:w="1169" w:type="dxa"/>
          </w:tcPr>
          <w:p w14:paraId="705A3EA1" w14:textId="6AF3E1FC"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-8.6</w:t>
            </w:r>
          </w:p>
        </w:tc>
        <w:tc>
          <w:tcPr>
            <w:tcW w:w="1169" w:type="dxa"/>
          </w:tcPr>
          <w:p w14:paraId="512191C9" w14:textId="20FF157E"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21.3</w:t>
            </w:r>
          </w:p>
        </w:tc>
        <w:tc>
          <w:tcPr>
            <w:tcW w:w="1169" w:type="dxa"/>
          </w:tcPr>
          <w:p w14:paraId="0FE2B599" w14:textId="5008BAE7" w:rsidR="004536A7" w:rsidRPr="004536A7" w:rsidRDefault="006F4FBA"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55.2</w:t>
            </w:r>
          </w:p>
        </w:tc>
        <w:tc>
          <w:tcPr>
            <w:tcW w:w="1169" w:type="dxa"/>
          </w:tcPr>
          <w:p w14:paraId="075D5F70" w14:textId="0238AE54"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1</w:t>
            </w:r>
          </w:p>
        </w:tc>
        <w:tc>
          <w:tcPr>
            <w:tcW w:w="1169" w:type="dxa"/>
          </w:tcPr>
          <w:p w14:paraId="24230FA6" w14:textId="66059E58" w:rsidR="004536A7" w:rsidRPr="004536A7" w:rsidRDefault="004536A7" w:rsidP="004536A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1.7</w:t>
            </w:r>
          </w:p>
        </w:tc>
      </w:tr>
      <w:tr w:rsidR="004536A7" w:rsidRPr="004536A7" w14:paraId="72A1E469" w14:textId="77777777" w:rsidTr="004536A7">
        <w:tc>
          <w:tcPr>
            <w:cnfStyle w:val="001000000000" w:firstRow="0" w:lastRow="0" w:firstColumn="1" w:lastColumn="0" w:oddVBand="0" w:evenVBand="0" w:oddHBand="0" w:evenHBand="0" w:firstRowFirstColumn="0" w:firstRowLastColumn="0" w:lastRowFirstColumn="0" w:lastRowLastColumn="0"/>
            <w:tcW w:w="1168" w:type="dxa"/>
          </w:tcPr>
          <w:p w14:paraId="0289E6CD" w14:textId="37437A0D" w:rsidR="004536A7" w:rsidRPr="004536A7" w:rsidRDefault="004536A7" w:rsidP="004536A7">
            <w:pPr>
              <w:rPr>
                <w:rFonts w:cs="Times New Roman"/>
                <w:sz w:val="16"/>
                <w:szCs w:val="16"/>
              </w:rPr>
            </w:pPr>
            <w:r w:rsidRPr="004536A7">
              <w:rPr>
                <w:rFonts w:cs="Times New Roman"/>
                <w:sz w:val="16"/>
                <w:szCs w:val="16"/>
              </w:rPr>
              <w:t>Raisin</w:t>
            </w:r>
          </w:p>
        </w:tc>
        <w:tc>
          <w:tcPr>
            <w:tcW w:w="1168" w:type="dxa"/>
          </w:tcPr>
          <w:p w14:paraId="7F67F41A" w14:textId="147C1943"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0.02</w:t>
            </w:r>
          </w:p>
        </w:tc>
        <w:tc>
          <w:tcPr>
            <w:tcW w:w="1169" w:type="dxa"/>
          </w:tcPr>
          <w:p w14:paraId="520C7B0A" w14:textId="4899E7F5"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0.01</w:t>
            </w:r>
          </w:p>
        </w:tc>
        <w:tc>
          <w:tcPr>
            <w:tcW w:w="1169" w:type="dxa"/>
          </w:tcPr>
          <w:p w14:paraId="43D90746" w14:textId="6698EBF2"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59.8</w:t>
            </w:r>
          </w:p>
        </w:tc>
        <w:tc>
          <w:tcPr>
            <w:tcW w:w="1169" w:type="dxa"/>
          </w:tcPr>
          <w:p w14:paraId="77F8DDB2" w14:textId="74E84CCD"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29.8</w:t>
            </w:r>
          </w:p>
        </w:tc>
        <w:tc>
          <w:tcPr>
            <w:tcW w:w="1169" w:type="dxa"/>
          </w:tcPr>
          <w:p w14:paraId="215DEAA1" w14:textId="5281B381" w:rsidR="004536A7" w:rsidRPr="004536A7" w:rsidRDefault="006F4FBA"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11.0</w:t>
            </w:r>
          </w:p>
        </w:tc>
        <w:tc>
          <w:tcPr>
            <w:tcW w:w="1169" w:type="dxa"/>
          </w:tcPr>
          <w:p w14:paraId="2AFEEACC" w14:textId="53847EF1"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6</w:t>
            </w:r>
          </w:p>
        </w:tc>
        <w:tc>
          <w:tcPr>
            <w:tcW w:w="1169" w:type="dxa"/>
          </w:tcPr>
          <w:p w14:paraId="10825274" w14:textId="7689ECDA" w:rsidR="004536A7" w:rsidRPr="004536A7" w:rsidRDefault="004536A7" w:rsidP="004536A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21.4</w:t>
            </w:r>
          </w:p>
        </w:tc>
      </w:tr>
    </w:tbl>
    <w:p w14:paraId="6A674D69" w14:textId="77777777" w:rsidR="00ED0138" w:rsidRDefault="00ED0138" w:rsidP="00EE6865">
      <w:pPr>
        <w:ind w:firstLine="720"/>
      </w:pPr>
    </w:p>
    <w:p w14:paraId="79F22D90" w14:textId="047001A9" w:rsidR="005B122A" w:rsidRDefault="008A7740" w:rsidP="008A7740">
      <w:pPr>
        <w:ind w:firstLine="720"/>
      </w:pPr>
      <w:r>
        <w:t xml:space="preserve">Overall, for the period between 2008-2022, percent changes were greatest at the Blanchard, Portage, Raisin, and Sandusky sites. The Blanchard site displaying the greatest percentage increases in FN SRP and TP concentrations, while the Sandusky site displayed the greatest percentage increase in FN SRP flux and the Raisin site displayed the greatest percentage increase in FN TP flux. Meanwhile, the Honey, Tiffin, and Maumee sites generally displayed near zero or negative percent changes for FN SRP and TP concentrations and fluxes. </w:t>
      </w:r>
      <w:r w:rsidR="00E42991">
        <w:t>In general,</w:t>
      </w:r>
      <w:r w:rsidR="00EE6865">
        <w:t xml:space="preserve"> the direction of </w:t>
      </w:r>
      <w:r w:rsidR="00C76EE7">
        <w:t>FN SRP concentration and flux trends</w:t>
      </w:r>
      <w:r w:rsidR="00EE6865">
        <w:t xml:space="preserve"> varied from site to site across the WLEB, </w:t>
      </w:r>
      <w:r w:rsidR="00C76EE7">
        <w:t>while FN TP concentrations and fluxes increased at all sites.</w:t>
      </w:r>
    </w:p>
    <w:p w14:paraId="07A19E6C" w14:textId="77777777" w:rsidR="00147BB0" w:rsidRDefault="00147BB0" w:rsidP="00147BB0">
      <w:r>
        <w:t>Table X:</w:t>
      </w:r>
    </w:p>
    <w:tbl>
      <w:tblPr>
        <w:tblStyle w:val="PlainTable2"/>
        <w:tblW w:w="0" w:type="auto"/>
        <w:jc w:val="center"/>
        <w:tblLook w:val="04A0" w:firstRow="1" w:lastRow="0" w:firstColumn="1" w:lastColumn="0" w:noHBand="0" w:noVBand="1"/>
      </w:tblPr>
      <w:tblGrid>
        <w:gridCol w:w="1089"/>
        <w:gridCol w:w="1089"/>
        <w:gridCol w:w="1090"/>
        <w:gridCol w:w="1090"/>
        <w:gridCol w:w="1090"/>
        <w:gridCol w:w="1212"/>
        <w:gridCol w:w="968"/>
        <w:gridCol w:w="1090"/>
      </w:tblGrid>
      <w:tr w:rsidR="00147BB0" w:rsidRPr="00E84107" w14:paraId="32C67D38" w14:textId="77777777" w:rsidTr="00E84107">
        <w:trPr>
          <w:cnfStyle w:val="100000000000" w:firstRow="1" w:lastRow="0" w:firstColumn="0" w:lastColumn="0" w:oddVBand="0" w:evenVBand="0" w:oddHBand="0" w:evenHBand="0" w:firstRowFirstColumn="0" w:firstRowLastColumn="0" w:lastRowFirstColumn="0" w:lastRowLastColumn="0"/>
          <w:trHeight w:val="442"/>
          <w:jc w:val="center"/>
        </w:trPr>
        <w:tc>
          <w:tcPr>
            <w:cnfStyle w:val="001000000000" w:firstRow="0" w:lastRow="0" w:firstColumn="1" w:lastColumn="0" w:oddVBand="0" w:evenVBand="0" w:oddHBand="0" w:evenHBand="0" w:firstRowFirstColumn="0" w:firstRowLastColumn="0" w:lastRowFirstColumn="0" w:lastRowLastColumn="0"/>
            <w:tcW w:w="1089" w:type="dxa"/>
            <w:vMerge w:val="restart"/>
            <w:vAlign w:val="center"/>
          </w:tcPr>
          <w:p w14:paraId="5E474509" w14:textId="77777777" w:rsidR="00147BB0" w:rsidRPr="00E84107" w:rsidRDefault="00147BB0" w:rsidP="00E84107">
            <w:pPr>
              <w:jc w:val="center"/>
              <w:rPr>
                <w:rFonts w:cs="Times New Roman"/>
                <w:sz w:val="16"/>
                <w:szCs w:val="16"/>
              </w:rPr>
            </w:pPr>
            <w:r w:rsidRPr="00E84107">
              <w:rPr>
                <w:rFonts w:cs="Times New Roman"/>
                <w:sz w:val="16"/>
                <w:szCs w:val="16"/>
              </w:rPr>
              <w:t>Site</w:t>
            </w:r>
          </w:p>
        </w:tc>
        <w:tc>
          <w:tcPr>
            <w:tcW w:w="3269" w:type="dxa"/>
            <w:gridSpan w:val="3"/>
            <w:vAlign w:val="center"/>
          </w:tcPr>
          <w:p w14:paraId="6F306620" w14:textId="66B8D2E9" w:rsidR="00147BB0" w:rsidRPr="00E84107" w:rsidRDefault="00147BB0" w:rsidP="00E84107">
            <w:pPr>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FN Concentration of TP</w:t>
            </w:r>
          </w:p>
        </w:tc>
        <w:tc>
          <w:tcPr>
            <w:tcW w:w="4360" w:type="dxa"/>
            <w:gridSpan w:val="4"/>
            <w:vAlign w:val="center"/>
          </w:tcPr>
          <w:p w14:paraId="2ECABD22" w14:textId="1DA434B6" w:rsidR="00147BB0" w:rsidRPr="00E84107" w:rsidRDefault="00147BB0" w:rsidP="00E84107">
            <w:pPr>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FN Flux of TP</w:t>
            </w:r>
          </w:p>
        </w:tc>
      </w:tr>
      <w:tr w:rsidR="00147BB0" w:rsidRPr="00E84107" w14:paraId="7720D62E" w14:textId="77777777" w:rsidTr="00E84107">
        <w:trPr>
          <w:cnfStyle w:val="000000100000" w:firstRow="0" w:lastRow="0" w:firstColumn="0" w:lastColumn="0" w:oddVBand="0" w:evenVBand="0" w:oddHBand="1" w:evenHBand="0" w:firstRowFirstColumn="0" w:firstRowLastColumn="0" w:lastRowFirstColumn="0" w:lastRowLastColumn="0"/>
          <w:trHeight w:val="172"/>
          <w:jc w:val="center"/>
        </w:trPr>
        <w:tc>
          <w:tcPr>
            <w:cnfStyle w:val="001000000000" w:firstRow="0" w:lastRow="0" w:firstColumn="1" w:lastColumn="0" w:oddVBand="0" w:evenVBand="0" w:oddHBand="0" w:evenHBand="0" w:firstRowFirstColumn="0" w:firstRowLastColumn="0" w:lastRowFirstColumn="0" w:lastRowLastColumn="0"/>
            <w:tcW w:w="1089" w:type="dxa"/>
            <w:vMerge/>
            <w:vAlign w:val="center"/>
          </w:tcPr>
          <w:p w14:paraId="03BEAC35" w14:textId="77777777" w:rsidR="00147BB0" w:rsidRPr="00E84107" w:rsidRDefault="00147BB0" w:rsidP="00E84107">
            <w:pPr>
              <w:jc w:val="center"/>
              <w:rPr>
                <w:rFonts w:cs="Times New Roman"/>
                <w:sz w:val="16"/>
                <w:szCs w:val="16"/>
              </w:rPr>
            </w:pPr>
          </w:p>
        </w:tc>
        <w:tc>
          <w:tcPr>
            <w:tcW w:w="1089" w:type="dxa"/>
            <w:vMerge w:val="restart"/>
            <w:vAlign w:val="center"/>
          </w:tcPr>
          <w:p w14:paraId="44E11F15" w14:textId="77777777" w:rsidR="00147BB0" w:rsidRPr="00E84107" w:rsidRDefault="00147BB0"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Annual mean in 2009, mg/L</w:t>
            </w:r>
          </w:p>
        </w:tc>
        <w:tc>
          <w:tcPr>
            <w:tcW w:w="2180" w:type="dxa"/>
            <w:gridSpan w:val="2"/>
            <w:vAlign w:val="center"/>
          </w:tcPr>
          <w:p w14:paraId="0B723A74" w14:textId="77777777" w:rsidR="00147BB0" w:rsidRPr="00E84107" w:rsidRDefault="00147BB0"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Change, 2009 - 2021</w:t>
            </w:r>
          </w:p>
        </w:tc>
        <w:tc>
          <w:tcPr>
            <w:tcW w:w="1090" w:type="dxa"/>
            <w:vMerge w:val="restart"/>
            <w:vAlign w:val="center"/>
          </w:tcPr>
          <w:p w14:paraId="3839351B" w14:textId="77777777" w:rsidR="00147BB0" w:rsidRPr="00E84107" w:rsidRDefault="00147BB0"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Total annual flux in 2009, metric ton/yr</w:t>
            </w:r>
          </w:p>
        </w:tc>
        <w:tc>
          <w:tcPr>
            <w:tcW w:w="1212" w:type="dxa"/>
            <w:vMerge w:val="restart"/>
            <w:vAlign w:val="center"/>
          </w:tcPr>
          <w:p w14:paraId="05B712CC" w14:textId="77777777" w:rsidR="00147BB0" w:rsidRPr="00E84107" w:rsidRDefault="00147BB0"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Total annual yield in 2009, kg/km</w:t>
            </w:r>
            <w:r w:rsidRPr="00E84107">
              <w:rPr>
                <w:rFonts w:cs="Times New Roman"/>
                <w:sz w:val="16"/>
                <w:szCs w:val="16"/>
                <w:vertAlign w:val="superscript"/>
              </w:rPr>
              <w:t>2</w:t>
            </w:r>
            <w:r w:rsidRPr="00E84107">
              <w:rPr>
                <w:rFonts w:cs="Times New Roman"/>
                <w:sz w:val="16"/>
                <w:szCs w:val="16"/>
              </w:rPr>
              <w:t>/yr</w:t>
            </w:r>
          </w:p>
        </w:tc>
        <w:tc>
          <w:tcPr>
            <w:tcW w:w="2058" w:type="dxa"/>
            <w:gridSpan w:val="2"/>
            <w:vAlign w:val="center"/>
          </w:tcPr>
          <w:p w14:paraId="5B58C23F" w14:textId="77777777" w:rsidR="00147BB0" w:rsidRPr="00E84107" w:rsidRDefault="00147BB0"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Change, 2009-2021</w:t>
            </w:r>
          </w:p>
        </w:tc>
      </w:tr>
      <w:tr w:rsidR="00147BB0" w:rsidRPr="00E84107" w14:paraId="25879B44" w14:textId="77777777" w:rsidTr="00E84107">
        <w:trPr>
          <w:trHeight w:val="172"/>
          <w:jc w:val="center"/>
        </w:trPr>
        <w:tc>
          <w:tcPr>
            <w:cnfStyle w:val="001000000000" w:firstRow="0" w:lastRow="0" w:firstColumn="1" w:lastColumn="0" w:oddVBand="0" w:evenVBand="0" w:oddHBand="0" w:evenHBand="0" w:firstRowFirstColumn="0" w:firstRowLastColumn="0" w:lastRowFirstColumn="0" w:lastRowLastColumn="0"/>
            <w:tcW w:w="1089" w:type="dxa"/>
            <w:vMerge/>
            <w:vAlign w:val="center"/>
          </w:tcPr>
          <w:p w14:paraId="41C5A71C" w14:textId="77777777" w:rsidR="00147BB0" w:rsidRPr="00E84107" w:rsidRDefault="00147BB0" w:rsidP="00E84107">
            <w:pPr>
              <w:jc w:val="center"/>
              <w:rPr>
                <w:rFonts w:cs="Times New Roman"/>
                <w:sz w:val="16"/>
                <w:szCs w:val="16"/>
              </w:rPr>
            </w:pPr>
          </w:p>
        </w:tc>
        <w:tc>
          <w:tcPr>
            <w:tcW w:w="1089" w:type="dxa"/>
            <w:vMerge/>
            <w:vAlign w:val="center"/>
          </w:tcPr>
          <w:p w14:paraId="56A8B583" w14:textId="77777777" w:rsidR="00147BB0" w:rsidRPr="00E84107" w:rsidRDefault="00147BB0"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090" w:type="dxa"/>
            <w:vAlign w:val="center"/>
          </w:tcPr>
          <w:p w14:paraId="2148425A" w14:textId="77777777" w:rsidR="00147BB0" w:rsidRPr="00E84107" w:rsidRDefault="00147BB0"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mg/L</w:t>
            </w:r>
          </w:p>
        </w:tc>
        <w:tc>
          <w:tcPr>
            <w:tcW w:w="1090" w:type="dxa"/>
            <w:vAlign w:val="center"/>
          </w:tcPr>
          <w:p w14:paraId="6C262F6A" w14:textId="77777777" w:rsidR="00147BB0" w:rsidRPr="00E84107" w:rsidRDefault="00147BB0"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w:t>
            </w:r>
          </w:p>
        </w:tc>
        <w:tc>
          <w:tcPr>
            <w:tcW w:w="1090" w:type="dxa"/>
            <w:vMerge/>
            <w:vAlign w:val="center"/>
          </w:tcPr>
          <w:p w14:paraId="0FF5E29B" w14:textId="77777777" w:rsidR="00147BB0" w:rsidRPr="00E84107" w:rsidRDefault="00147BB0"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12" w:type="dxa"/>
            <w:vMerge/>
            <w:vAlign w:val="center"/>
          </w:tcPr>
          <w:p w14:paraId="670319C4" w14:textId="77777777" w:rsidR="00147BB0" w:rsidRPr="00E84107" w:rsidRDefault="00147BB0"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968" w:type="dxa"/>
            <w:vAlign w:val="center"/>
          </w:tcPr>
          <w:p w14:paraId="7D005CA6" w14:textId="77777777" w:rsidR="00147BB0" w:rsidRPr="00E84107" w:rsidRDefault="00147BB0"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Metric ton/yr</w:t>
            </w:r>
          </w:p>
        </w:tc>
        <w:tc>
          <w:tcPr>
            <w:tcW w:w="1090" w:type="dxa"/>
            <w:vAlign w:val="center"/>
          </w:tcPr>
          <w:p w14:paraId="11EF5474" w14:textId="77777777" w:rsidR="00147BB0" w:rsidRPr="00E84107" w:rsidRDefault="00147BB0"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w:t>
            </w:r>
          </w:p>
        </w:tc>
      </w:tr>
      <w:tr w:rsidR="00E84107" w:rsidRPr="00E84107" w14:paraId="05FE232E" w14:textId="77777777" w:rsidTr="00E84107">
        <w:trPr>
          <w:cnfStyle w:val="000000100000" w:firstRow="0" w:lastRow="0" w:firstColumn="0" w:lastColumn="0" w:oddVBand="0" w:evenVBand="0" w:oddHBand="1" w:evenHBand="0" w:firstRowFirstColumn="0" w:firstRowLastColumn="0" w:lastRowFirstColumn="0" w:lastRowLastColumn="0"/>
          <w:trHeight w:val="442"/>
          <w:jc w:val="center"/>
        </w:trPr>
        <w:tc>
          <w:tcPr>
            <w:cnfStyle w:val="001000000000" w:firstRow="0" w:lastRow="0" w:firstColumn="1" w:lastColumn="0" w:oddVBand="0" w:evenVBand="0" w:oddHBand="0" w:evenHBand="0" w:firstRowFirstColumn="0" w:firstRowLastColumn="0" w:lastRowFirstColumn="0" w:lastRowLastColumn="0"/>
            <w:tcW w:w="1089" w:type="dxa"/>
            <w:vAlign w:val="center"/>
          </w:tcPr>
          <w:p w14:paraId="5E5C5139" w14:textId="77777777" w:rsidR="00E84107" w:rsidRPr="00E84107" w:rsidRDefault="00E84107" w:rsidP="00E84107">
            <w:pPr>
              <w:jc w:val="center"/>
              <w:rPr>
                <w:rFonts w:cs="Times New Roman"/>
                <w:sz w:val="16"/>
                <w:szCs w:val="16"/>
              </w:rPr>
            </w:pPr>
            <w:r w:rsidRPr="00E84107">
              <w:rPr>
                <w:rFonts w:cs="Times New Roman"/>
                <w:sz w:val="16"/>
                <w:szCs w:val="16"/>
              </w:rPr>
              <w:t>Maumee</w:t>
            </w:r>
          </w:p>
        </w:tc>
        <w:tc>
          <w:tcPr>
            <w:tcW w:w="1089" w:type="dxa"/>
            <w:vAlign w:val="center"/>
          </w:tcPr>
          <w:p w14:paraId="16A4E987" w14:textId="47DD28C2"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0.23</w:t>
            </w:r>
          </w:p>
        </w:tc>
        <w:tc>
          <w:tcPr>
            <w:tcW w:w="1090" w:type="dxa"/>
            <w:vAlign w:val="center"/>
          </w:tcPr>
          <w:p w14:paraId="4F9F9025" w14:textId="29CB68B1"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0.01</w:t>
            </w:r>
          </w:p>
        </w:tc>
        <w:tc>
          <w:tcPr>
            <w:tcW w:w="1090" w:type="dxa"/>
            <w:vAlign w:val="center"/>
          </w:tcPr>
          <w:p w14:paraId="3769CCCF" w14:textId="093A2B82"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6</w:t>
            </w:r>
          </w:p>
        </w:tc>
        <w:tc>
          <w:tcPr>
            <w:tcW w:w="1090" w:type="dxa"/>
            <w:vAlign w:val="center"/>
          </w:tcPr>
          <w:p w14:paraId="70E2F438" w14:textId="4318C087"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2390</w:t>
            </w:r>
          </w:p>
        </w:tc>
        <w:tc>
          <w:tcPr>
            <w:tcW w:w="1212" w:type="dxa"/>
            <w:vAlign w:val="center"/>
          </w:tcPr>
          <w:p w14:paraId="4DBFEC13" w14:textId="697A86E4"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145</w:t>
            </w:r>
          </w:p>
        </w:tc>
        <w:tc>
          <w:tcPr>
            <w:tcW w:w="968" w:type="dxa"/>
            <w:vAlign w:val="center"/>
          </w:tcPr>
          <w:p w14:paraId="56D065C0" w14:textId="0D430695"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226</w:t>
            </w:r>
          </w:p>
        </w:tc>
        <w:tc>
          <w:tcPr>
            <w:tcW w:w="1090" w:type="dxa"/>
            <w:vAlign w:val="center"/>
          </w:tcPr>
          <w:p w14:paraId="13DC5038" w14:textId="406B7EEA"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9.5</w:t>
            </w:r>
          </w:p>
        </w:tc>
      </w:tr>
      <w:tr w:rsidR="00E84107" w:rsidRPr="00E84107" w14:paraId="6E44ED6C" w14:textId="77777777" w:rsidTr="00E84107">
        <w:trPr>
          <w:trHeight w:val="442"/>
          <w:jc w:val="center"/>
        </w:trPr>
        <w:tc>
          <w:tcPr>
            <w:cnfStyle w:val="001000000000" w:firstRow="0" w:lastRow="0" w:firstColumn="1" w:lastColumn="0" w:oddVBand="0" w:evenVBand="0" w:oddHBand="0" w:evenHBand="0" w:firstRowFirstColumn="0" w:firstRowLastColumn="0" w:lastRowFirstColumn="0" w:lastRowLastColumn="0"/>
            <w:tcW w:w="1089" w:type="dxa"/>
            <w:vAlign w:val="center"/>
          </w:tcPr>
          <w:p w14:paraId="01983CFC" w14:textId="3E3A2BC7" w:rsidR="00E84107" w:rsidRPr="00E84107" w:rsidRDefault="00E84107" w:rsidP="00E84107">
            <w:pPr>
              <w:jc w:val="center"/>
              <w:rPr>
                <w:rFonts w:cs="Times New Roman"/>
                <w:sz w:val="16"/>
                <w:szCs w:val="16"/>
              </w:rPr>
            </w:pPr>
            <w:r w:rsidRPr="00E84107">
              <w:rPr>
                <w:rFonts w:cs="Times New Roman"/>
                <w:sz w:val="16"/>
                <w:szCs w:val="16"/>
              </w:rPr>
              <w:t>Tiffin</w:t>
            </w:r>
          </w:p>
        </w:tc>
        <w:tc>
          <w:tcPr>
            <w:tcW w:w="1089" w:type="dxa"/>
            <w:vAlign w:val="center"/>
          </w:tcPr>
          <w:p w14:paraId="48683589" w14:textId="3D6B5A64"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0.16</w:t>
            </w:r>
          </w:p>
        </w:tc>
        <w:tc>
          <w:tcPr>
            <w:tcW w:w="1090" w:type="dxa"/>
            <w:vAlign w:val="center"/>
          </w:tcPr>
          <w:p w14:paraId="60DAA621" w14:textId="6228C0C3"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0.01</w:t>
            </w:r>
          </w:p>
        </w:tc>
        <w:tc>
          <w:tcPr>
            <w:tcW w:w="1090" w:type="dxa"/>
            <w:vAlign w:val="center"/>
          </w:tcPr>
          <w:p w14:paraId="3F2431BB" w14:textId="02C0DC70"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6</w:t>
            </w:r>
          </w:p>
        </w:tc>
        <w:tc>
          <w:tcPr>
            <w:tcW w:w="1090" w:type="dxa"/>
            <w:vAlign w:val="center"/>
          </w:tcPr>
          <w:p w14:paraId="6A94A26E" w14:textId="1470873B"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82.4</w:t>
            </w:r>
          </w:p>
        </w:tc>
        <w:tc>
          <w:tcPr>
            <w:tcW w:w="1212" w:type="dxa"/>
            <w:vAlign w:val="center"/>
          </w:tcPr>
          <w:p w14:paraId="63284B72" w14:textId="4A683B06"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78</w:t>
            </w:r>
          </w:p>
        </w:tc>
        <w:tc>
          <w:tcPr>
            <w:tcW w:w="968" w:type="dxa"/>
            <w:vAlign w:val="center"/>
          </w:tcPr>
          <w:p w14:paraId="1BE34D6D" w14:textId="0BA72DF2"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15</w:t>
            </w:r>
          </w:p>
        </w:tc>
        <w:tc>
          <w:tcPr>
            <w:tcW w:w="1090" w:type="dxa"/>
            <w:vAlign w:val="center"/>
          </w:tcPr>
          <w:p w14:paraId="7A1E0F7B" w14:textId="0BD9D9B4"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18</w:t>
            </w:r>
          </w:p>
        </w:tc>
      </w:tr>
      <w:tr w:rsidR="00E84107" w:rsidRPr="00E84107" w14:paraId="0B8607EB" w14:textId="77777777" w:rsidTr="00E84107">
        <w:trPr>
          <w:cnfStyle w:val="000000100000" w:firstRow="0" w:lastRow="0" w:firstColumn="0" w:lastColumn="0" w:oddVBand="0" w:evenVBand="0" w:oddHBand="1" w:evenHBand="0" w:firstRowFirstColumn="0" w:firstRowLastColumn="0" w:lastRowFirstColumn="0" w:lastRowLastColumn="0"/>
          <w:trHeight w:val="442"/>
          <w:jc w:val="center"/>
        </w:trPr>
        <w:tc>
          <w:tcPr>
            <w:cnfStyle w:val="001000000000" w:firstRow="0" w:lastRow="0" w:firstColumn="1" w:lastColumn="0" w:oddVBand="0" w:evenVBand="0" w:oddHBand="0" w:evenHBand="0" w:firstRowFirstColumn="0" w:firstRowLastColumn="0" w:lastRowFirstColumn="0" w:lastRowLastColumn="0"/>
            <w:tcW w:w="1089" w:type="dxa"/>
            <w:vAlign w:val="center"/>
          </w:tcPr>
          <w:p w14:paraId="65553F4B" w14:textId="58AE4C1B" w:rsidR="00E84107" w:rsidRPr="00E84107" w:rsidRDefault="00E84107" w:rsidP="00E84107">
            <w:pPr>
              <w:jc w:val="center"/>
              <w:rPr>
                <w:rFonts w:cs="Times New Roman"/>
                <w:sz w:val="16"/>
                <w:szCs w:val="16"/>
              </w:rPr>
            </w:pPr>
            <w:r w:rsidRPr="00E84107">
              <w:rPr>
                <w:rFonts w:cs="Times New Roman"/>
                <w:sz w:val="16"/>
                <w:szCs w:val="16"/>
              </w:rPr>
              <w:t>Blanchard</w:t>
            </w:r>
          </w:p>
        </w:tc>
        <w:tc>
          <w:tcPr>
            <w:tcW w:w="1089" w:type="dxa"/>
            <w:vAlign w:val="center"/>
          </w:tcPr>
          <w:p w14:paraId="126A1237" w14:textId="370BA728"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0.25</w:t>
            </w:r>
          </w:p>
        </w:tc>
        <w:tc>
          <w:tcPr>
            <w:tcW w:w="1090" w:type="dxa"/>
            <w:vAlign w:val="center"/>
          </w:tcPr>
          <w:p w14:paraId="0A498606" w14:textId="213E9ED9"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0.13</w:t>
            </w:r>
          </w:p>
        </w:tc>
        <w:tc>
          <w:tcPr>
            <w:tcW w:w="1090" w:type="dxa"/>
            <w:vAlign w:val="center"/>
          </w:tcPr>
          <w:p w14:paraId="41A756F1" w14:textId="03075C16"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52</w:t>
            </w:r>
          </w:p>
        </w:tc>
        <w:tc>
          <w:tcPr>
            <w:tcW w:w="1090" w:type="dxa"/>
            <w:vAlign w:val="center"/>
          </w:tcPr>
          <w:p w14:paraId="4BBF2F52" w14:textId="00C857B0"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137</w:t>
            </w:r>
          </w:p>
        </w:tc>
        <w:tc>
          <w:tcPr>
            <w:tcW w:w="1212" w:type="dxa"/>
            <w:vAlign w:val="center"/>
          </w:tcPr>
          <w:p w14:paraId="0087397B" w14:textId="5BEF1BA3"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153</w:t>
            </w:r>
          </w:p>
        </w:tc>
        <w:tc>
          <w:tcPr>
            <w:tcW w:w="968" w:type="dxa"/>
            <w:vAlign w:val="center"/>
          </w:tcPr>
          <w:p w14:paraId="5EB4CB3F" w14:textId="673B904A"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23</w:t>
            </w:r>
          </w:p>
        </w:tc>
        <w:tc>
          <w:tcPr>
            <w:tcW w:w="1090" w:type="dxa"/>
            <w:vAlign w:val="center"/>
          </w:tcPr>
          <w:p w14:paraId="58E60621" w14:textId="686B1BC8"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16</w:t>
            </w:r>
          </w:p>
        </w:tc>
      </w:tr>
      <w:tr w:rsidR="00E84107" w:rsidRPr="00E84107" w14:paraId="78014997" w14:textId="77777777" w:rsidTr="00E84107">
        <w:trPr>
          <w:trHeight w:val="430"/>
          <w:jc w:val="center"/>
        </w:trPr>
        <w:tc>
          <w:tcPr>
            <w:cnfStyle w:val="001000000000" w:firstRow="0" w:lastRow="0" w:firstColumn="1" w:lastColumn="0" w:oddVBand="0" w:evenVBand="0" w:oddHBand="0" w:evenHBand="0" w:firstRowFirstColumn="0" w:firstRowLastColumn="0" w:lastRowFirstColumn="0" w:lastRowLastColumn="0"/>
            <w:tcW w:w="1089" w:type="dxa"/>
            <w:vAlign w:val="center"/>
          </w:tcPr>
          <w:p w14:paraId="2FEA7360" w14:textId="77777777" w:rsidR="00E84107" w:rsidRPr="00E84107" w:rsidRDefault="00E84107" w:rsidP="00E84107">
            <w:pPr>
              <w:jc w:val="center"/>
              <w:rPr>
                <w:rFonts w:cs="Times New Roman"/>
                <w:sz w:val="16"/>
                <w:szCs w:val="16"/>
              </w:rPr>
            </w:pPr>
            <w:r w:rsidRPr="00E84107">
              <w:rPr>
                <w:rFonts w:cs="Times New Roman"/>
                <w:sz w:val="16"/>
                <w:szCs w:val="16"/>
              </w:rPr>
              <w:t>Sandusky</w:t>
            </w:r>
          </w:p>
        </w:tc>
        <w:tc>
          <w:tcPr>
            <w:tcW w:w="1089" w:type="dxa"/>
            <w:vAlign w:val="center"/>
          </w:tcPr>
          <w:p w14:paraId="5058FBC5" w14:textId="25DF82EE"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0.20</w:t>
            </w:r>
          </w:p>
        </w:tc>
        <w:tc>
          <w:tcPr>
            <w:tcW w:w="1090" w:type="dxa"/>
            <w:vAlign w:val="center"/>
          </w:tcPr>
          <w:p w14:paraId="00BFA2DD" w14:textId="6B7D2224"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0.04</w:t>
            </w:r>
          </w:p>
        </w:tc>
        <w:tc>
          <w:tcPr>
            <w:tcW w:w="1090" w:type="dxa"/>
            <w:vAlign w:val="center"/>
          </w:tcPr>
          <w:p w14:paraId="52D7BA25" w14:textId="426D786D"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21</w:t>
            </w:r>
          </w:p>
        </w:tc>
        <w:tc>
          <w:tcPr>
            <w:tcW w:w="1090" w:type="dxa"/>
            <w:vAlign w:val="center"/>
          </w:tcPr>
          <w:p w14:paraId="390D10AF" w14:textId="32185C29"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530</w:t>
            </w:r>
          </w:p>
        </w:tc>
        <w:tc>
          <w:tcPr>
            <w:tcW w:w="1212" w:type="dxa"/>
            <w:vAlign w:val="center"/>
          </w:tcPr>
          <w:p w14:paraId="4545D673" w14:textId="5C0DFA67"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164</w:t>
            </w:r>
          </w:p>
        </w:tc>
        <w:tc>
          <w:tcPr>
            <w:tcW w:w="968" w:type="dxa"/>
            <w:vAlign w:val="center"/>
          </w:tcPr>
          <w:p w14:paraId="2340E18E" w14:textId="7B04230B"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139</w:t>
            </w:r>
          </w:p>
        </w:tc>
        <w:tc>
          <w:tcPr>
            <w:tcW w:w="1090" w:type="dxa"/>
            <w:vAlign w:val="center"/>
          </w:tcPr>
          <w:p w14:paraId="0B19CE05" w14:textId="0B6539D8"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26</w:t>
            </w:r>
          </w:p>
        </w:tc>
      </w:tr>
      <w:tr w:rsidR="00E84107" w:rsidRPr="00E84107" w14:paraId="6F919C15" w14:textId="77777777" w:rsidTr="00E84107">
        <w:trPr>
          <w:cnfStyle w:val="000000100000" w:firstRow="0" w:lastRow="0" w:firstColumn="0" w:lastColumn="0" w:oddVBand="0" w:evenVBand="0" w:oddHBand="1" w:evenHBand="0" w:firstRowFirstColumn="0" w:firstRowLastColumn="0" w:lastRowFirstColumn="0" w:lastRowLastColumn="0"/>
          <w:trHeight w:val="442"/>
          <w:jc w:val="center"/>
        </w:trPr>
        <w:tc>
          <w:tcPr>
            <w:cnfStyle w:val="001000000000" w:firstRow="0" w:lastRow="0" w:firstColumn="1" w:lastColumn="0" w:oddVBand="0" w:evenVBand="0" w:oddHBand="0" w:evenHBand="0" w:firstRowFirstColumn="0" w:firstRowLastColumn="0" w:lastRowFirstColumn="0" w:lastRowLastColumn="0"/>
            <w:tcW w:w="1089" w:type="dxa"/>
            <w:vAlign w:val="center"/>
          </w:tcPr>
          <w:p w14:paraId="64711366" w14:textId="31AA8758" w:rsidR="00E84107" w:rsidRPr="00E84107" w:rsidRDefault="00E84107" w:rsidP="00E84107">
            <w:pPr>
              <w:jc w:val="center"/>
              <w:rPr>
                <w:rFonts w:cs="Times New Roman"/>
                <w:sz w:val="16"/>
                <w:szCs w:val="16"/>
              </w:rPr>
            </w:pPr>
            <w:r w:rsidRPr="00E84107">
              <w:rPr>
                <w:rFonts w:cs="Times New Roman"/>
                <w:sz w:val="16"/>
                <w:szCs w:val="16"/>
              </w:rPr>
              <w:t>Honey</w:t>
            </w:r>
          </w:p>
        </w:tc>
        <w:tc>
          <w:tcPr>
            <w:tcW w:w="1089" w:type="dxa"/>
            <w:vAlign w:val="center"/>
          </w:tcPr>
          <w:p w14:paraId="61021F79" w14:textId="6B06F5D1"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0.20</w:t>
            </w:r>
          </w:p>
        </w:tc>
        <w:tc>
          <w:tcPr>
            <w:tcW w:w="1090" w:type="dxa"/>
            <w:vAlign w:val="center"/>
          </w:tcPr>
          <w:p w14:paraId="297E429E" w14:textId="4CCE3090"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0.02</w:t>
            </w:r>
          </w:p>
        </w:tc>
        <w:tc>
          <w:tcPr>
            <w:tcW w:w="1090" w:type="dxa"/>
            <w:vAlign w:val="center"/>
          </w:tcPr>
          <w:p w14:paraId="6BCE832F" w14:textId="496E1A2E"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12</w:t>
            </w:r>
          </w:p>
        </w:tc>
        <w:tc>
          <w:tcPr>
            <w:tcW w:w="1090" w:type="dxa"/>
            <w:vAlign w:val="center"/>
          </w:tcPr>
          <w:p w14:paraId="6C8B8F78" w14:textId="335323A3"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68.6</w:t>
            </w:r>
          </w:p>
        </w:tc>
        <w:tc>
          <w:tcPr>
            <w:tcW w:w="1212" w:type="dxa"/>
            <w:vAlign w:val="center"/>
          </w:tcPr>
          <w:p w14:paraId="410BCFED" w14:textId="46204040"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178</w:t>
            </w:r>
          </w:p>
        </w:tc>
        <w:tc>
          <w:tcPr>
            <w:tcW w:w="968" w:type="dxa"/>
            <w:vAlign w:val="center"/>
          </w:tcPr>
          <w:p w14:paraId="7D348F23" w14:textId="5C97457B"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11</w:t>
            </w:r>
          </w:p>
        </w:tc>
        <w:tc>
          <w:tcPr>
            <w:tcW w:w="1090" w:type="dxa"/>
            <w:vAlign w:val="center"/>
          </w:tcPr>
          <w:p w14:paraId="64641BF6" w14:textId="5F3D883D" w:rsidR="00E84107" w:rsidRPr="00E84107" w:rsidRDefault="00E84107" w:rsidP="00E84107">
            <w:pPr>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16</w:t>
            </w:r>
          </w:p>
        </w:tc>
      </w:tr>
      <w:tr w:rsidR="00E84107" w:rsidRPr="00E84107" w14:paraId="45B7E939" w14:textId="77777777" w:rsidTr="00E84107">
        <w:trPr>
          <w:trHeight w:val="442"/>
          <w:jc w:val="center"/>
        </w:trPr>
        <w:tc>
          <w:tcPr>
            <w:cnfStyle w:val="001000000000" w:firstRow="0" w:lastRow="0" w:firstColumn="1" w:lastColumn="0" w:oddVBand="0" w:evenVBand="0" w:oddHBand="0" w:evenHBand="0" w:firstRowFirstColumn="0" w:firstRowLastColumn="0" w:lastRowFirstColumn="0" w:lastRowLastColumn="0"/>
            <w:tcW w:w="1089" w:type="dxa"/>
            <w:vAlign w:val="center"/>
          </w:tcPr>
          <w:p w14:paraId="401DCB2A" w14:textId="77777777" w:rsidR="00E84107" w:rsidRPr="00E84107" w:rsidRDefault="00E84107" w:rsidP="00E84107">
            <w:pPr>
              <w:jc w:val="center"/>
              <w:rPr>
                <w:rFonts w:cs="Times New Roman"/>
                <w:sz w:val="16"/>
                <w:szCs w:val="16"/>
              </w:rPr>
            </w:pPr>
            <w:r w:rsidRPr="00E84107">
              <w:rPr>
                <w:rFonts w:cs="Times New Roman"/>
                <w:sz w:val="16"/>
                <w:szCs w:val="16"/>
              </w:rPr>
              <w:t>Raisin</w:t>
            </w:r>
          </w:p>
        </w:tc>
        <w:tc>
          <w:tcPr>
            <w:tcW w:w="1089" w:type="dxa"/>
            <w:vAlign w:val="center"/>
          </w:tcPr>
          <w:p w14:paraId="5207D5B6" w14:textId="03393B8D"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0.08</w:t>
            </w:r>
          </w:p>
        </w:tc>
        <w:tc>
          <w:tcPr>
            <w:tcW w:w="1090" w:type="dxa"/>
            <w:vAlign w:val="center"/>
          </w:tcPr>
          <w:p w14:paraId="119E7D96" w14:textId="6CA65408"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0.03</w:t>
            </w:r>
          </w:p>
        </w:tc>
        <w:tc>
          <w:tcPr>
            <w:tcW w:w="1090" w:type="dxa"/>
            <w:vAlign w:val="center"/>
          </w:tcPr>
          <w:p w14:paraId="0844AE80" w14:textId="37CA1004"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34</w:t>
            </w:r>
          </w:p>
        </w:tc>
        <w:tc>
          <w:tcPr>
            <w:tcW w:w="1090" w:type="dxa"/>
            <w:vAlign w:val="center"/>
          </w:tcPr>
          <w:p w14:paraId="4DE71128" w14:textId="46D75813"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113</w:t>
            </w:r>
          </w:p>
        </w:tc>
        <w:tc>
          <w:tcPr>
            <w:tcW w:w="1212" w:type="dxa"/>
            <w:vAlign w:val="center"/>
          </w:tcPr>
          <w:p w14:paraId="348A0F43" w14:textId="677DFAC8"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42</w:t>
            </w:r>
          </w:p>
        </w:tc>
        <w:tc>
          <w:tcPr>
            <w:tcW w:w="968" w:type="dxa"/>
            <w:vAlign w:val="center"/>
          </w:tcPr>
          <w:p w14:paraId="2F784E1D" w14:textId="77C445C0"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49</w:t>
            </w:r>
          </w:p>
        </w:tc>
        <w:tc>
          <w:tcPr>
            <w:tcW w:w="1090" w:type="dxa"/>
            <w:vAlign w:val="center"/>
          </w:tcPr>
          <w:p w14:paraId="35598108" w14:textId="6760E706" w:rsidR="00E84107" w:rsidRPr="00E84107" w:rsidRDefault="00E84107" w:rsidP="00E84107">
            <w:pPr>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43</w:t>
            </w:r>
          </w:p>
        </w:tc>
      </w:tr>
    </w:tbl>
    <w:p w14:paraId="57FC5DA6" w14:textId="77777777" w:rsidR="00147BB0" w:rsidRDefault="00147BB0" w:rsidP="008A7740">
      <w:pPr>
        <w:ind w:firstLine="720"/>
      </w:pPr>
    </w:p>
    <w:p w14:paraId="44C0BA16" w14:textId="0B7AFCF6" w:rsidR="00665B3B" w:rsidRDefault="008A7740" w:rsidP="00D623F7">
      <w:pPr>
        <w:ind w:firstLine="720"/>
      </w:pPr>
      <w:r>
        <w:t xml:space="preserve">Relative to P reduction targets in the WLEB, </w:t>
      </w:r>
      <w:r w:rsidR="00450C40">
        <w:t xml:space="preserve">the downward trends in SRP fluxes in the Maumee River and the </w:t>
      </w:r>
      <w:r w:rsidR="005B122A">
        <w:t>Tiffin River</w:t>
      </w:r>
      <w:r w:rsidR="00450C40">
        <w:t xml:space="preserve"> (a smaller tributary of the Maumee) indicate that some regional progress is being made towards mitigating SRP </w:t>
      </w:r>
      <w:r w:rsidR="005B122A">
        <w:t>delivery.</w:t>
      </w:r>
      <w:r w:rsidR="00450C40">
        <w:t xml:space="preserve"> </w:t>
      </w:r>
      <w:r w:rsidR="005B122A">
        <w:t xml:space="preserve">However, the </w:t>
      </w:r>
      <w:r w:rsidR="00D623F7">
        <w:t xml:space="preserve">consistently positive percent changes in </w:t>
      </w:r>
      <w:r w:rsidR="005B122A">
        <w:t xml:space="preserve">TP concentrations and fluxes </w:t>
      </w:r>
      <w:r w:rsidR="00D623F7">
        <w:t xml:space="preserve">across the basin suggest that we should temper our happiness with the downward trends in SRP in select watersheds. </w:t>
      </w:r>
      <w:r w:rsidR="005B122A">
        <w:t xml:space="preserve">Additionally, the substantial increasing SRP and TP trends for Blanchard, Portage, and Sandusky rivers </w:t>
      </w:r>
      <w:r w:rsidR="00D623F7">
        <w:t>indicate that recent changes occuring in these watersheds, especially Blanchard and Portage, are increasing and not decreasing P export within these watersheds.</w:t>
      </w:r>
    </w:p>
    <w:p w14:paraId="029A0C0D" w14:textId="25D07D57" w:rsidR="008A7740" w:rsidRDefault="008A7740" w:rsidP="008A7740">
      <w:pPr>
        <w:pStyle w:val="Heading2"/>
      </w:pPr>
      <w:r>
        <w:t>Influence of recent trends on long-term trends</w:t>
      </w:r>
      <w:r w:rsidR="0011336B">
        <w:t xml:space="preserve"> (20</w:t>
      </w:r>
      <w:r w:rsidR="00862EAA">
        <w:t>09</w:t>
      </w:r>
      <w:r w:rsidR="0011336B">
        <w:t>-20</w:t>
      </w:r>
      <w:r w:rsidR="00862EAA">
        <w:t>15</w:t>
      </w:r>
      <w:r w:rsidR="0061184F">
        <w:t xml:space="preserve"> vs. 20</w:t>
      </w:r>
      <w:r w:rsidR="00862EAA">
        <w:t>15</w:t>
      </w:r>
      <w:r w:rsidR="0061184F">
        <w:t>-202</w:t>
      </w:r>
      <w:r w:rsidR="00862EAA">
        <w:t>1</w:t>
      </w:r>
      <w:r w:rsidR="0011336B">
        <w:t>)</w:t>
      </w:r>
    </w:p>
    <w:p w14:paraId="51603423" w14:textId="243919CB" w:rsidR="005F342D" w:rsidRDefault="00FC32AF" w:rsidP="00817095">
      <w:pPr>
        <w:ind w:firstLine="360"/>
      </w:pPr>
      <w:r>
        <w:t xml:space="preserve">For SRP trends, </w:t>
      </w:r>
      <w:r w:rsidR="00817095">
        <w:t>m</w:t>
      </w:r>
      <w:r w:rsidR="004F5794">
        <w:t>ore sites had negative trends (e.g., Maumee for FN concentration and Honey and Raisin for FN flux)</w:t>
      </w:r>
      <w:r w:rsidR="00817095">
        <w:t xml:space="preserve"> (Table 2)</w:t>
      </w:r>
      <w:r w:rsidR="004F5794">
        <w:t>. The sites with negative trends over the entire period had greater negative trends (e.g., Honey and Tiffin for FN concentration and Maumee and Tiffin for FN flux)</w:t>
      </w:r>
      <w:r w:rsidR="00817095">
        <w:t xml:space="preserve">. </w:t>
      </w:r>
      <w:r w:rsidR="004F5794">
        <w:t xml:space="preserve">Generally, sites with positive FN trends in the recent period showed declining or steady state upward trends relative to the entire period (e.g., </w:t>
      </w:r>
      <w:r>
        <w:t>Blanchard</w:t>
      </w:r>
      <w:r w:rsidR="004F5794">
        <w:t>, Portage, and Raisin</w:t>
      </w:r>
      <w:r>
        <w:t xml:space="preserve"> </w:t>
      </w:r>
      <w:r w:rsidR="004F5794">
        <w:t>for FN concentration and Blanchard and Sandusky for FN flux).</w:t>
      </w:r>
      <w:r w:rsidR="00817095">
        <w:t xml:space="preserve"> </w:t>
      </w:r>
      <w:r w:rsidR="004F5794">
        <w:t xml:space="preserve">Notably, the Sandusky showed an </w:t>
      </w:r>
      <w:r w:rsidR="004F5794">
        <w:lastRenderedPageBreak/>
        <w:t xml:space="preserve">increasing upward trend in recent years </w:t>
      </w:r>
      <w:r w:rsidR="00817095">
        <w:t>for SRP concentration, while Portage showed an increasing upward trend in recent years for SRP flux. These results suggest that either a) nutrient reduction strategies enacted in recent years have had a mitigating effect on SRP losses within the basin, b) the cumulative nutrient reduction strategies implemented over the previous decades have reached a critical point and begun improving water quality, c) legacy sources are diminishing within the basin, d) all or some of the above. However, the differing results across the basin (especially, the increasing upward trends in Sandusky and Portage) indicate that these improvements have not been observed to the same extent across the basin.</w:t>
      </w:r>
    </w:p>
    <w:p w14:paraId="4E6F1AD2" w14:textId="3827EB5C" w:rsidR="008547C1" w:rsidRDefault="008547C1" w:rsidP="00FC32AF">
      <w:pPr>
        <w:pStyle w:val="Caption"/>
      </w:pPr>
      <w:r>
        <w:t xml:space="preserve">Table </w:t>
      </w:r>
      <w:r w:rsidR="004F5794">
        <w:t>2</w:t>
      </w:r>
      <w:r>
        <w:t>: Rate of change in FN SRP concentration and flux between 200</w:t>
      </w:r>
      <w:r w:rsidR="007A7929">
        <w:t>9</w:t>
      </w:r>
      <w:r>
        <w:t xml:space="preserve"> and 20</w:t>
      </w:r>
      <w:r w:rsidR="007A7929">
        <w:t>15</w:t>
      </w:r>
      <w:r>
        <w:t xml:space="preserve"> and between 2015 and 2022, in percent per year.</w:t>
      </w:r>
    </w:p>
    <w:tbl>
      <w:tblPr>
        <w:tblStyle w:val="TableGrid"/>
        <w:tblW w:w="0" w:type="auto"/>
        <w:jc w:val="center"/>
        <w:tblLayout w:type="fixed"/>
        <w:tblLook w:val="04A0" w:firstRow="1" w:lastRow="0" w:firstColumn="1" w:lastColumn="0" w:noHBand="0" w:noVBand="1"/>
      </w:tblPr>
      <w:tblGrid>
        <w:gridCol w:w="1355"/>
        <w:gridCol w:w="1377"/>
        <w:gridCol w:w="1420"/>
        <w:gridCol w:w="1420"/>
        <w:gridCol w:w="1521"/>
      </w:tblGrid>
      <w:tr w:rsidR="005F342D" w:rsidRPr="00862EAA" w14:paraId="40E6D783" w14:textId="77777777" w:rsidTr="00862EAA">
        <w:trPr>
          <w:trHeight w:val="227"/>
          <w:jc w:val="center"/>
        </w:trPr>
        <w:tc>
          <w:tcPr>
            <w:tcW w:w="1355" w:type="dxa"/>
            <w:vMerge w:val="restart"/>
            <w:vAlign w:val="center"/>
          </w:tcPr>
          <w:p w14:paraId="1E0EC06A" w14:textId="315ECE46" w:rsidR="005F342D" w:rsidRPr="00862EAA" w:rsidRDefault="005F342D" w:rsidP="00862EAA">
            <w:pPr>
              <w:spacing w:line="240" w:lineRule="auto"/>
              <w:jc w:val="center"/>
              <w:rPr>
                <w:rFonts w:cs="Times New Roman"/>
                <w:sz w:val="16"/>
                <w:szCs w:val="16"/>
              </w:rPr>
            </w:pPr>
            <w:r w:rsidRPr="00862EAA">
              <w:rPr>
                <w:rFonts w:cs="Times New Roman"/>
                <w:sz w:val="16"/>
                <w:szCs w:val="16"/>
              </w:rPr>
              <w:t>Site</w:t>
            </w:r>
          </w:p>
        </w:tc>
        <w:tc>
          <w:tcPr>
            <w:tcW w:w="2797" w:type="dxa"/>
            <w:gridSpan w:val="2"/>
            <w:vAlign w:val="center"/>
          </w:tcPr>
          <w:p w14:paraId="73828E20" w14:textId="72A6FED3" w:rsidR="005F342D" w:rsidRPr="00862EAA" w:rsidRDefault="005F342D" w:rsidP="00862EAA">
            <w:pPr>
              <w:spacing w:line="240" w:lineRule="auto"/>
              <w:jc w:val="center"/>
              <w:rPr>
                <w:rFonts w:cs="Times New Roman"/>
                <w:sz w:val="16"/>
                <w:szCs w:val="16"/>
              </w:rPr>
            </w:pPr>
            <w:r w:rsidRPr="00862EAA">
              <w:rPr>
                <w:rFonts w:cs="Times New Roman"/>
                <w:sz w:val="16"/>
                <w:szCs w:val="16"/>
              </w:rPr>
              <w:t>FN concentration</w:t>
            </w:r>
          </w:p>
        </w:tc>
        <w:tc>
          <w:tcPr>
            <w:tcW w:w="2941" w:type="dxa"/>
            <w:gridSpan w:val="2"/>
            <w:vAlign w:val="center"/>
          </w:tcPr>
          <w:p w14:paraId="1950E875" w14:textId="3AF54FE3" w:rsidR="005F342D" w:rsidRPr="00862EAA" w:rsidRDefault="005F342D" w:rsidP="00862EAA">
            <w:pPr>
              <w:spacing w:line="240" w:lineRule="auto"/>
              <w:jc w:val="center"/>
              <w:rPr>
                <w:rFonts w:cs="Times New Roman"/>
                <w:sz w:val="16"/>
                <w:szCs w:val="16"/>
              </w:rPr>
            </w:pPr>
            <w:r w:rsidRPr="00862EAA">
              <w:rPr>
                <w:rFonts w:cs="Times New Roman"/>
                <w:sz w:val="16"/>
                <w:szCs w:val="16"/>
              </w:rPr>
              <w:t>FN flux</w:t>
            </w:r>
          </w:p>
        </w:tc>
      </w:tr>
      <w:tr w:rsidR="005F342D" w:rsidRPr="00862EAA" w14:paraId="54B7891C" w14:textId="77777777" w:rsidTr="00862EAA">
        <w:trPr>
          <w:trHeight w:val="454"/>
          <w:jc w:val="center"/>
        </w:trPr>
        <w:tc>
          <w:tcPr>
            <w:tcW w:w="1355" w:type="dxa"/>
            <w:vMerge/>
            <w:vAlign w:val="center"/>
          </w:tcPr>
          <w:p w14:paraId="15D69B1B" w14:textId="3C68EDA0" w:rsidR="005F342D" w:rsidRPr="00862EAA" w:rsidRDefault="005F342D" w:rsidP="00862EAA">
            <w:pPr>
              <w:spacing w:line="240" w:lineRule="auto"/>
              <w:jc w:val="center"/>
              <w:rPr>
                <w:rFonts w:cs="Times New Roman"/>
                <w:sz w:val="16"/>
                <w:szCs w:val="16"/>
              </w:rPr>
            </w:pPr>
          </w:p>
        </w:tc>
        <w:tc>
          <w:tcPr>
            <w:tcW w:w="1377" w:type="dxa"/>
            <w:vAlign w:val="center"/>
          </w:tcPr>
          <w:p w14:paraId="6509280F" w14:textId="28E7ED3C" w:rsidR="005F342D" w:rsidRPr="00862EAA" w:rsidRDefault="005F342D" w:rsidP="00862EAA">
            <w:pPr>
              <w:spacing w:line="240" w:lineRule="auto"/>
              <w:jc w:val="center"/>
              <w:rPr>
                <w:rFonts w:cs="Times New Roman"/>
                <w:sz w:val="16"/>
                <w:szCs w:val="16"/>
              </w:rPr>
            </w:pPr>
            <w:r w:rsidRPr="00862EAA">
              <w:rPr>
                <w:rFonts w:cs="Times New Roman"/>
                <w:sz w:val="16"/>
                <w:szCs w:val="16"/>
              </w:rPr>
              <w:t>200</w:t>
            </w:r>
            <w:r w:rsidR="0073503F" w:rsidRPr="00862EAA">
              <w:rPr>
                <w:rFonts w:cs="Times New Roman"/>
                <w:sz w:val="16"/>
                <w:szCs w:val="16"/>
              </w:rPr>
              <w:t>9-2015</w:t>
            </w:r>
          </w:p>
        </w:tc>
        <w:tc>
          <w:tcPr>
            <w:tcW w:w="1420" w:type="dxa"/>
            <w:vAlign w:val="center"/>
          </w:tcPr>
          <w:p w14:paraId="2B52ABB4" w14:textId="587B4CA1" w:rsidR="005F342D" w:rsidRPr="00862EAA" w:rsidRDefault="005F342D" w:rsidP="00862EAA">
            <w:pPr>
              <w:spacing w:line="240" w:lineRule="auto"/>
              <w:jc w:val="center"/>
              <w:rPr>
                <w:rFonts w:cs="Times New Roman"/>
                <w:sz w:val="16"/>
                <w:szCs w:val="16"/>
              </w:rPr>
            </w:pPr>
            <w:r w:rsidRPr="00862EAA">
              <w:rPr>
                <w:rFonts w:cs="Times New Roman"/>
                <w:sz w:val="16"/>
                <w:szCs w:val="16"/>
              </w:rPr>
              <w:t>2015-202</w:t>
            </w:r>
            <w:r w:rsidR="0073503F" w:rsidRPr="00862EAA">
              <w:rPr>
                <w:rFonts w:cs="Times New Roman"/>
                <w:sz w:val="16"/>
                <w:szCs w:val="16"/>
              </w:rPr>
              <w:t>1</w:t>
            </w:r>
          </w:p>
        </w:tc>
        <w:tc>
          <w:tcPr>
            <w:tcW w:w="1420" w:type="dxa"/>
            <w:vAlign w:val="center"/>
          </w:tcPr>
          <w:p w14:paraId="1D91F395" w14:textId="1B84DB8A" w:rsidR="005F342D" w:rsidRPr="00862EAA" w:rsidRDefault="005F342D" w:rsidP="00862EAA">
            <w:pPr>
              <w:spacing w:line="240" w:lineRule="auto"/>
              <w:jc w:val="center"/>
              <w:rPr>
                <w:rFonts w:cs="Times New Roman"/>
                <w:sz w:val="16"/>
                <w:szCs w:val="16"/>
              </w:rPr>
            </w:pPr>
            <w:r w:rsidRPr="00862EAA">
              <w:rPr>
                <w:rFonts w:cs="Times New Roman"/>
                <w:sz w:val="16"/>
                <w:szCs w:val="16"/>
              </w:rPr>
              <w:t>200</w:t>
            </w:r>
            <w:r w:rsidR="0073503F" w:rsidRPr="00862EAA">
              <w:rPr>
                <w:rFonts w:cs="Times New Roman"/>
                <w:sz w:val="16"/>
                <w:szCs w:val="16"/>
              </w:rPr>
              <w:t>9</w:t>
            </w:r>
            <w:r w:rsidRPr="00862EAA">
              <w:rPr>
                <w:rFonts w:cs="Times New Roman"/>
                <w:sz w:val="16"/>
                <w:szCs w:val="16"/>
              </w:rPr>
              <w:t>-20</w:t>
            </w:r>
            <w:r w:rsidR="0073503F" w:rsidRPr="00862EAA">
              <w:rPr>
                <w:rFonts w:cs="Times New Roman"/>
                <w:sz w:val="16"/>
                <w:szCs w:val="16"/>
              </w:rPr>
              <w:t>15</w:t>
            </w:r>
          </w:p>
        </w:tc>
        <w:tc>
          <w:tcPr>
            <w:tcW w:w="1521" w:type="dxa"/>
            <w:vAlign w:val="center"/>
          </w:tcPr>
          <w:p w14:paraId="033A50C8" w14:textId="2CE43E8A" w:rsidR="005F342D" w:rsidRPr="00862EAA" w:rsidRDefault="005F342D" w:rsidP="00862EAA">
            <w:pPr>
              <w:spacing w:line="240" w:lineRule="auto"/>
              <w:jc w:val="center"/>
              <w:rPr>
                <w:rFonts w:cs="Times New Roman"/>
                <w:sz w:val="16"/>
                <w:szCs w:val="16"/>
              </w:rPr>
            </w:pPr>
            <w:r w:rsidRPr="00862EAA">
              <w:rPr>
                <w:rFonts w:cs="Times New Roman"/>
                <w:sz w:val="16"/>
                <w:szCs w:val="16"/>
              </w:rPr>
              <w:t>20</w:t>
            </w:r>
            <w:r w:rsidR="0073503F" w:rsidRPr="00862EAA">
              <w:rPr>
                <w:rFonts w:cs="Times New Roman"/>
                <w:sz w:val="16"/>
                <w:szCs w:val="16"/>
              </w:rPr>
              <w:t>15</w:t>
            </w:r>
            <w:r w:rsidRPr="00862EAA">
              <w:rPr>
                <w:rFonts w:cs="Times New Roman"/>
                <w:sz w:val="16"/>
                <w:szCs w:val="16"/>
              </w:rPr>
              <w:t>-202</w:t>
            </w:r>
            <w:r w:rsidR="0073503F" w:rsidRPr="00862EAA">
              <w:rPr>
                <w:rFonts w:cs="Times New Roman"/>
                <w:sz w:val="16"/>
                <w:szCs w:val="16"/>
              </w:rPr>
              <w:t>1</w:t>
            </w:r>
          </w:p>
        </w:tc>
      </w:tr>
      <w:tr w:rsidR="0073503F" w:rsidRPr="00862EAA" w14:paraId="144B92FF" w14:textId="77777777" w:rsidTr="00862EAA">
        <w:trPr>
          <w:trHeight w:val="217"/>
          <w:jc w:val="center"/>
        </w:trPr>
        <w:tc>
          <w:tcPr>
            <w:tcW w:w="1355" w:type="dxa"/>
            <w:vAlign w:val="center"/>
          </w:tcPr>
          <w:p w14:paraId="2013E851" w14:textId="333C2E2C" w:rsidR="0073503F" w:rsidRPr="00862EAA" w:rsidRDefault="0073503F" w:rsidP="00862EAA">
            <w:pPr>
              <w:spacing w:line="240" w:lineRule="auto"/>
              <w:jc w:val="center"/>
              <w:rPr>
                <w:rFonts w:cs="Times New Roman"/>
                <w:sz w:val="16"/>
                <w:szCs w:val="16"/>
              </w:rPr>
            </w:pPr>
            <w:r w:rsidRPr="00862EAA">
              <w:rPr>
                <w:rFonts w:cs="Times New Roman"/>
                <w:sz w:val="16"/>
                <w:szCs w:val="16"/>
              </w:rPr>
              <w:t>MAU</w:t>
            </w:r>
          </w:p>
        </w:tc>
        <w:tc>
          <w:tcPr>
            <w:tcW w:w="1377" w:type="dxa"/>
            <w:vAlign w:val="center"/>
          </w:tcPr>
          <w:p w14:paraId="36C4298B" w14:textId="4DDAE46B"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0.8</w:t>
            </w:r>
          </w:p>
        </w:tc>
        <w:tc>
          <w:tcPr>
            <w:tcW w:w="1420" w:type="dxa"/>
            <w:vAlign w:val="center"/>
          </w:tcPr>
          <w:p w14:paraId="1E7A833A" w14:textId="270D459B"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-0.8</w:t>
            </w:r>
          </w:p>
        </w:tc>
        <w:tc>
          <w:tcPr>
            <w:tcW w:w="1420" w:type="dxa"/>
            <w:vAlign w:val="center"/>
          </w:tcPr>
          <w:p w14:paraId="5D0917B8" w14:textId="167A2329"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0.04</w:t>
            </w:r>
          </w:p>
        </w:tc>
        <w:tc>
          <w:tcPr>
            <w:tcW w:w="1521" w:type="dxa"/>
            <w:vAlign w:val="center"/>
          </w:tcPr>
          <w:p w14:paraId="40DFCAE8" w14:textId="048874C6"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-0.86</w:t>
            </w:r>
          </w:p>
        </w:tc>
      </w:tr>
      <w:tr w:rsidR="0073503F" w:rsidRPr="00862EAA" w14:paraId="6B30C622" w14:textId="77777777" w:rsidTr="00862EAA">
        <w:trPr>
          <w:trHeight w:val="227"/>
          <w:jc w:val="center"/>
        </w:trPr>
        <w:tc>
          <w:tcPr>
            <w:tcW w:w="1355" w:type="dxa"/>
            <w:vAlign w:val="center"/>
          </w:tcPr>
          <w:p w14:paraId="3252FF0E" w14:textId="6D143EFA" w:rsidR="0073503F" w:rsidRPr="00862EAA" w:rsidRDefault="0073503F" w:rsidP="00862EAA">
            <w:pPr>
              <w:spacing w:line="240" w:lineRule="auto"/>
              <w:jc w:val="center"/>
              <w:rPr>
                <w:rFonts w:cs="Times New Roman"/>
                <w:sz w:val="16"/>
                <w:szCs w:val="16"/>
              </w:rPr>
            </w:pPr>
            <w:r w:rsidRPr="00862EAA">
              <w:rPr>
                <w:rFonts w:cs="Times New Roman"/>
                <w:sz w:val="16"/>
                <w:szCs w:val="16"/>
              </w:rPr>
              <w:t>TIF</w:t>
            </w:r>
          </w:p>
        </w:tc>
        <w:tc>
          <w:tcPr>
            <w:tcW w:w="1377" w:type="dxa"/>
            <w:vAlign w:val="center"/>
          </w:tcPr>
          <w:p w14:paraId="350F7B54" w14:textId="167169A3"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1.7</w:t>
            </w:r>
          </w:p>
        </w:tc>
        <w:tc>
          <w:tcPr>
            <w:tcW w:w="1420" w:type="dxa"/>
            <w:vAlign w:val="center"/>
          </w:tcPr>
          <w:p w14:paraId="2DFB04AE" w14:textId="3F8836C0"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-2.4</w:t>
            </w:r>
          </w:p>
        </w:tc>
        <w:tc>
          <w:tcPr>
            <w:tcW w:w="1420" w:type="dxa"/>
            <w:vAlign w:val="center"/>
          </w:tcPr>
          <w:p w14:paraId="11EF65C6" w14:textId="2F9FB491"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1.60</w:t>
            </w:r>
          </w:p>
        </w:tc>
        <w:tc>
          <w:tcPr>
            <w:tcW w:w="1521" w:type="dxa"/>
            <w:vAlign w:val="center"/>
          </w:tcPr>
          <w:p w14:paraId="28201940" w14:textId="1BB86616"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-2.2</w:t>
            </w:r>
          </w:p>
        </w:tc>
      </w:tr>
      <w:tr w:rsidR="0073503F" w:rsidRPr="00862EAA" w14:paraId="31E34CDC" w14:textId="77777777" w:rsidTr="00862EAA">
        <w:trPr>
          <w:trHeight w:val="227"/>
          <w:jc w:val="center"/>
        </w:trPr>
        <w:tc>
          <w:tcPr>
            <w:tcW w:w="1355" w:type="dxa"/>
            <w:vAlign w:val="center"/>
          </w:tcPr>
          <w:p w14:paraId="492E04D5" w14:textId="57FAA558" w:rsidR="0073503F" w:rsidRPr="00862EAA" w:rsidRDefault="0073503F" w:rsidP="00862EAA">
            <w:pPr>
              <w:spacing w:line="240" w:lineRule="auto"/>
              <w:jc w:val="center"/>
              <w:rPr>
                <w:rFonts w:cs="Times New Roman"/>
                <w:sz w:val="16"/>
                <w:szCs w:val="16"/>
              </w:rPr>
            </w:pPr>
            <w:r w:rsidRPr="00862EAA">
              <w:rPr>
                <w:rFonts w:cs="Times New Roman"/>
                <w:sz w:val="16"/>
                <w:szCs w:val="16"/>
              </w:rPr>
              <w:t>BLA</w:t>
            </w:r>
          </w:p>
        </w:tc>
        <w:tc>
          <w:tcPr>
            <w:tcW w:w="1377" w:type="dxa"/>
            <w:vAlign w:val="center"/>
          </w:tcPr>
          <w:p w14:paraId="057C2A3C" w14:textId="186ED5BA"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12</w:t>
            </w:r>
          </w:p>
        </w:tc>
        <w:tc>
          <w:tcPr>
            <w:tcW w:w="1420" w:type="dxa"/>
            <w:vAlign w:val="center"/>
          </w:tcPr>
          <w:p w14:paraId="076D04E2" w14:textId="5F8A9F9C"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3.2</w:t>
            </w:r>
          </w:p>
        </w:tc>
        <w:tc>
          <w:tcPr>
            <w:tcW w:w="1420" w:type="dxa"/>
            <w:vAlign w:val="center"/>
          </w:tcPr>
          <w:p w14:paraId="7C6117B5" w14:textId="30865669"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2.60</w:t>
            </w:r>
          </w:p>
        </w:tc>
        <w:tc>
          <w:tcPr>
            <w:tcW w:w="1521" w:type="dxa"/>
            <w:vAlign w:val="center"/>
          </w:tcPr>
          <w:p w14:paraId="33D77124" w14:textId="52BEA7AC"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1.8</w:t>
            </w:r>
          </w:p>
        </w:tc>
      </w:tr>
      <w:tr w:rsidR="0073503F" w:rsidRPr="00862EAA" w14:paraId="282D0EE8" w14:textId="77777777" w:rsidTr="00862EAA">
        <w:trPr>
          <w:trHeight w:val="227"/>
          <w:jc w:val="center"/>
        </w:trPr>
        <w:tc>
          <w:tcPr>
            <w:tcW w:w="1355" w:type="dxa"/>
            <w:vAlign w:val="center"/>
          </w:tcPr>
          <w:p w14:paraId="78086657" w14:textId="2CAD88C7" w:rsidR="0073503F" w:rsidRPr="00862EAA" w:rsidRDefault="0073503F" w:rsidP="00862EAA">
            <w:pPr>
              <w:spacing w:line="240" w:lineRule="auto"/>
              <w:jc w:val="center"/>
              <w:rPr>
                <w:rFonts w:cs="Times New Roman"/>
                <w:sz w:val="16"/>
                <w:szCs w:val="16"/>
              </w:rPr>
            </w:pPr>
            <w:r w:rsidRPr="00862EAA">
              <w:rPr>
                <w:rFonts w:cs="Times New Roman"/>
                <w:sz w:val="16"/>
                <w:szCs w:val="16"/>
              </w:rPr>
              <w:t>SAN</w:t>
            </w:r>
          </w:p>
        </w:tc>
        <w:tc>
          <w:tcPr>
            <w:tcW w:w="1377" w:type="dxa"/>
            <w:vAlign w:val="center"/>
          </w:tcPr>
          <w:p w14:paraId="754B1050" w14:textId="787854B3"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1.2</w:t>
            </w:r>
          </w:p>
        </w:tc>
        <w:tc>
          <w:tcPr>
            <w:tcW w:w="1420" w:type="dxa"/>
            <w:vAlign w:val="center"/>
          </w:tcPr>
          <w:p w14:paraId="5BBDBEE1" w14:textId="53E2FEFA"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3.2</w:t>
            </w:r>
          </w:p>
        </w:tc>
        <w:tc>
          <w:tcPr>
            <w:tcW w:w="1420" w:type="dxa"/>
            <w:vAlign w:val="center"/>
          </w:tcPr>
          <w:p w14:paraId="19509448" w14:textId="23739EAE"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1.40</w:t>
            </w:r>
          </w:p>
        </w:tc>
        <w:tc>
          <w:tcPr>
            <w:tcW w:w="1521" w:type="dxa"/>
            <w:vAlign w:val="center"/>
          </w:tcPr>
          <w:p w14:paraId="43556021" w14:textId="04C98D3E"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1.6</w:t>
            </w:r>
          </w:p>
        </w:tc>
      </w:tr>
      <w:tr w:rsidR="0073503F" w:rsidRPr="00862EAA" w14:paraId="0A21D458" w14:textId="77777777" w:rsidTr="00862EAA">
        <w:trPr>
          <w:trHeight w:val="227"/>
          <w:jc w:val="center"/>
        </w:trPr>
        <w:tc>
          <w:tcPr>
            <w:tcW w:w="1355" w:type="dxa"/>
            <w:vAlign w:val="center"/>
          </w:tcPr>
          <w:p w14:paraId="63A18FEE" w14:textId="46C4C339" w:rsidR="0073503F" w:rsidRPr="00862EAA" w:rsidRDefault="0073503F" w:rsidP="00862EAA">
            <w:pPr>
              <w:spacing w:line="240" w:lineRule="auto"/>
              <w:jc w:val="center"/>
              <w:rPr>
                <w:rFonts w:cs="Times New Roman"/>
                <w:sz w:val="16"/>
                <w:szCs w:val="16"/>
              </w:rPr>
            </w:pPr>
            <w:r w:rsidRPr="00862EAA">
              <w:rPr>
                <w:rFonts w:cs="Times New Roman"/>
                <w:sz w:val="16"/>
                <w:szCs w:val="16"/>
              </w:rPr>
              <w:t>HON</w:t>
            </w:r>
          </w:p>
        </w:tc>
        <w:tc>
          <w:tcPr>
            <w:tcW w:w="1377" w:type="dxa"/>
            <w:vAlign w:val="center"/>
          </w:tcPr>
          <w:p w14:paraId="481B7966" w14:textId="790FD32E"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-0.7</w:t>
            </w:r>
          </w:p>
        </w:tc>
        <w:tc>
          <w:tcPr>
            <w:tcW w:w="1420" w:type="dxa"/>
            <w:vAlign w:val="center"/>
          </w:tcPr>
          <w:p w14:paraId="610D1306" w14:textId="6A73F2E6"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-0.8</w:t>
            </w:r>
          </w:p>
        </w:tc>
        <w:tc>
          <w:tcPr>
            <w:tcW w:w="1420" w:type="dxa"/>
            <w:vAlign w:val="center"/>
          </w:tcPr>
          <w:p w14:paraId="4D9FA645" w14:textId="4D394BAB"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0.78</w:t>
            </w:r>
          </w:p>
        </w:tc>
        <w:tc>
          <w:tcPr>
            <w:tcW w:w="1521" w:type="dxa"/>
            <w:vAlign w:val="center"/>
          </w:tcPr>
          <w:p w14:paraId="00BA7DC9" w14:textId="79D7387E"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-0.47</w:t>
            </w:r>
          </w:p>
        </w:tc>
      </w:tr>
      <w:tr w:rsidR="0073503F" w:rsidRPr="00862EAA" w14:paraId="3D76F866" w14:textId="77777777" w:rsidTr="00862EAA">
        <w:trPr>
          <w:trHeight w:val="217"/>
          <w:jc w:val="center"/>
        </w:trPr>
        <w:tc>
          <w:tcPr>
            <w:tcW w:w="1355" w:type="dxa"/>
            <w:vAlign w:val="center"/>
          </w:tcPr>
          <w:p w14:paraId="4EDBF6BB" w14:textId="071DE793" w:rsidR="0073503F" w:rsidRPr="00862EAA" w:rsidRDefault="0073503F" w:rsidP="00862EAA">
            <w:pPr>
              <w:spacing w:line="240" w:lineRule="auto"/>
              <w:jc w:val="center"/>
              <w:rPr>
                <w:rFonts w:cs="Times New Roman"/>
                <w:sz w:val="16"/>
                <w:szCs w:val="16"/>
              </w:rPr>
            </w:pPr>
            <w:r w:rsidRPr="00862EAA">
              <w:rPr>
                <w:rFonts w:cs="Times New Roman"/>
                <w:sz w:val="16"/>
                <w:szCs w:val="16"/>
              </w:rPr>
              <w:t>RAI</w:t>
            </w:r>
          </w:p>
        </w:tc>
        <w:tc>
          <w:tcPr>
            <w:tcW w:w="1377" w:type="dxa"/>
            <w:vAlign w:val="center"/>
          </w:tcPr>
          <w:p w14:paraId="679537B4" w14:textId="0C561A47"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7.2</w:t>
            </w:r>
          </w:p>
        </w:tc>
        <w:tc>
          <w:tcPr>
            <w:tcW w:w="1420" w:type="dxa"/>
            <w:vAlign w:val="center"/>
          </w:tcPr>
          <w:p w14:paraId="6286D113" w14:textId="413E5E3F"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2.0</w:t>
            </w:r>
          </w:p>
        </w:tc>
        <w:tc>
          <w:tcPr>
            <w:tcW w:w="1420" w:type="dxa"/>
            <w:vAlign w:val="center"/>
          </w:tcPr>
          <w:p w14:paraId="690FBA30" w14:textId="13A74E15"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4.70</w:t>
            </w:r>
          </w:p>
        </w:tc>
        <w:tc>
          <w:tcPr>
            <w:tcW w:w="1521" w:type="dxa"/>
            <w:vAlign w:val="center"/>
          </w:tcPr>
          <w:p w14:paraId="1B66C00C" w14:textId="08D32E4F" w:rsidR="0073503F" w:rsidRPr="00862EAA" w:rsidRDefault="0073503F" w:rsidP="00862EAA">
            <w:pPr>
              <w:spacing w:line="240" w:lineRule="auto"/>
              <w:jc w:val="center"/>
              <w:rPr>
                <w:rFonts w:cs="Times New Roman"/>
                <w:sz w:val="16"/>
                <w:szCs w:val="16"/>
              </w:rPr>
            </w:pPr>
            <w:r w:rsidRPr="00862EAA">
              <w:rPr>
                <w:rFonts w:cs="Times New Roman"/>
                <w:color w:val="000000"/>
                <w:sz w:val="16"/>
                <w:szCs w:val="16"/>
              </w:rPr>
              <w:t>-0.86</w:t>
            </w:r>
          </w:p>
        </w:tc>
      </w:tr>
      <w:tr w:rsidR="00862EAA" w:rsidRPr="00862EAA" w14:paraId="73ADE93D" w14:textId="77777777" w:rsidTr="00862EAA">
        <w:trPr>
          <w:trHeight w:val="227"/>
          <w:jc w:val="center"/>
        </w:trPr>
        <w:tc>
          <w:tcPr>
            <w:tcW w:w="1355" w:type="dxa"/>
            <w:vAlign w:val="center"/>
          </w:tcPr>
          <w:p w14:paraId="110CCAAC" w14:textId="0293D9F3" w:rsidR="00862EAA" w:rsidRPr="00862EAA" w:rsidRDefault="00862EAA" w:rsidP="00862EAA">
            <w:pPr>
              <w:spacing w:line="240" w:lineRule="auto"/>
              <w:jc w:val="center"/>
              <w:rPr>
                <w:rFonts w:cs="Times New Roman"/>
                <w:sz w:val="16"/>
                <w:szCs w:val="16"/>
              </w:rPr>
            </w:pPr>
            <w:r w:rsidRPr="00862EAA">
              <w:rPr>
                <w:rFonts w:cs="Times New Roman"/>
                <w:sz w:val="16"/>
                <w:szCs w:val="16"/>
              </w:rPr>
              <w:t>Average</w:t>
            </w:r>
          </w:p>
        </w:tc>
        <w:tc>
          <w:tcPr>
            <w:tcW w:w="1377" w:type="dxa"/>
            <w:vAlign w:val="center"/>
          </w:tcPr>
          <w:p w14:paraId="32C7E5DA" w14:textId="1C5B0BDA" w:rsidR="00862EAA" w:rsidRPr="00862EAA" w:rsidRDefault="00862EAA" w:rsidP="00862EAA">
            <w:pPr>
              <w:spacing w:line="240" w:lineRule="auto"/>
              <w:jc w:val="center"/>
              <w:rPr>
                <w:rFonts w:cs="Times New Roman"/>
                <w:color w:val="000000"/>
                <w:sz w:val="16"/>
                <w:szCs w:val="16"/>
              </w:rPr>
            </w:pPr>
            <w:r w:rsidRPr="00862EAA">
              <w:rPr>
                <w:rFonts w:cs="Times New Roman"/>
                <w:color w:val="000000"/>
                <w:sz w:val="16"/>
                <w:szCs w:val="16"/>
              </w:rPr>
              <w:t>3.7</w:t>
            </w:r>
          </w:p>
        </w:tc>
        <w:tc>
          <w:tcPr>
            <w:tcW w:w="1420" w:type="dxa"/>
            <w:vAlign w:val="center"/>
          </w:tcPr>
          <w:p w14:paraId="39C9ACF8" w14:textId="65B7A696" w:rsidR="00862EAA" w:rsidRPr="00862EAA" w:rsidRDefault="00862EAA" w:rsidP="00862EAA">
            <w:pPr>
              <w:spacing w:line="240" w:lineRule="auto"/>
              <w:jc w:val="center"/>
              <w:rPr>
                <w:rFonts w:cs="Times New Roman"/>
                <w:color w:val="000000"/>
                <w:sz w:val="16"/>
                <w:szCs w:val="16"/>
              </w:rPr>
            </w:pPr>
            <w:r w:rsidRPr="00862EAA">
              <w:rPr>
                <w:rFonts w:cs="Times New Roman"/>
                <w:color w:val="000000"/>
                <w:sz w:val="16"/>
                <w:szCs w:val="16"/>
              </w:rPr>
              <w:t>0.7</w:t>
            </w:r>
          </w:p>
        </w:tc>
        <w:tc>
          <w:tcPr>
            <w:tcW w:w="1420" w:type="dxa"/>
            <w:vAlign w:val="center"/>
          </w:tcPr>
          <w:p w14:paraId="08FD7898" w14:textId="517EB583" w:rsidR="00862EAA" w:rsidRPr="00862EAA" w:rsidRDefault="00862EAA" w:rsidP="00862EAA">
            <w:pPr>
              <w:spacing w:line="240" w:lineRule="auto"/>
              <w:jc w:val="center"/>
              <w:rPr>
                <w:rFonts w:cs="Times New Roman"/>
                <w:color w:val="000000"/>
                <w:sz w:val="16"/>
                <w:szCs w:val="16"/>
              </w:rPr>
            </w:pPr>
            <w:r w:rsidRPr="00862EAA">
              <w:rPr>
                <w:rFonts w:cs="Times New Roman"/>
                <w:color w:val="000000"/>
                <w:sz w:val="16"/>
                <w:szCs w:val="16"/>
              </w:rPr>
              <w:t>1.9</w:t>
            </w:r>
          </w:p>
        </w:tc>
        <w:tc>
          <w:tcPr>
            <w:tcW w:w="1521" w:type="dxa"/>
            <w:vAlign w:val="center"/>
          </w:tcPr>
          <w:p w14:paraId="7F08122B" w14:textId="5CEFA69F" w:rsidR="00862EAA" w:rsidRPr="00862EAA" w:rsidRDefault="00862EAA" w:rsidP="00862EAA">
            <w:pPr>
              <w:spacing w:line="240" w:lineRule="auto"/>
              <w:jc w:val="center"/>
              <w:rPr>
                <w:rFonts w:cs="Times New Roman"/>
                <w:color w:val="000000"/>
                <w:sz w:val="16"/>
                <w:szCs w:val="16"/>
              </w:rPr>
            </w:pPr>
            <w:r w:rsidRPr="00862EAA">
              <w:rPr>
                <w:rFonts w:cs="Times New Roman"/>
                <w:color w:val="000000"/>
                <w:sz w:val="16"/>
                <w:szCs w:val="16"/>
              </w:rPr>
              <w:t>-0.2</w:t>
            </w:r>
          </w:p>
        </w:tc>
      </w:tr>
    </w:tbl>
    <w:p w14:paraId="1ADE3008" w14:textId="77777777" w:rsidR="0073503F" w:rsidRDefault="0073503F" w:rsidP="002E468A">
      <w:pPr>
        <w:ind w:firstLine="720"/>
      </w:pPr>
    </w:p>
    <w:p w14:paraId="6AC68AEB" w14:textId="4426AD96" w:rsidR="003A52D0" w:rsidRDefault="003A52D0" w:rsidP="002E468A">
      <w:pPr>
        <w:ind w:firstLine="720"/>
      </w:pPr>
      <w:r>
        <w:t xml:space="preserve">For TP trends, only a single site (Tiffin) had switched from an upward to a downward trend and even then, this switch only occurred in the FN concentration trend (Table 3). Furthermore, only a few sites showed a decline in the magnitude of an upward trend in recent years (e.g., Blanchard, Portage, and Raisin for FN concentration and Raisin and Tiffin for FN flux). Generally, unlike SRP trends, sites with positive FN trends in the recent period showed increasing upward trends relative to the entire period (e.g., Honey, Maumee, Raisin, and Sandusky for FN concentration and Blanchard, Honey, Maumee, Portage, and Sandusky for FN flux). These results suggest that </w:t>
      </w:r>
      <w:r w:rsidR="00417D68">
        <w:t xml:space="preserve">the annual </w:t>
      </w:r>
      <w:r>
        <w:t xml:space="preserve">TP delivery has been increasing throughout the basin.  </w:t>
      </w:r>
    </w:p>
    <w:p w14:paraId="08CE3B5C" w14:textId="3E9F44A8" w:rsidR="005F342D" w:rsidRDefault="005F342D" w:rsidP="00FC32AF">
      <w:pPr>
        <w:pStyle w:val="Caption"/>
      </w:pPr>
      <w:r>
        <w:lastRenderedPageBreak/>
        <w:t xml:space="preserve">Table </w:t>
      </w:r>
      <w:r w:rsidR="004F5794">
        <w:t>3</w:t>
      </w:r>
      <w:r>
        <w:t>: Rate of change in FN TP concentration and flux between 2008 and 2022 and between 2015 and 2022, in percent per year.</w:t>
      </w:r>
    </w:p>
    <w:tbl>
      <w:tblPr>
        <w:tblStyle w:val="TableGridLight"/>
        <w:tblW w:w="0" w:type="auto"/>
        <w:jc w:val="center"/>
        <w:tblLayout w:type="fixed"/>
        <w:tblLook w:val="04A0" w:firstRow="1" w:lastRow="0" w:firstColumn="1" w:lastColumn="0" w:noHBand="0" w:noVBand="1"/>
      </w:tblPr>
      <w:tblGrid>
        <w:gridCol w:w="1203"/>
        <w:gridCol w:w="1222"/>
        <w:gridCol w:w="1260"/>
        <w:gridCol w:w="1260"/>
        <w:gridCol w:w="1350"/>
      </w:tblGrid>
      <w:tr w:rsidR="005F342D" w:rsidRPr="00BE736F" w14:paraId="792060C9" w14:textId="77777777" w:rsidTr="00BE736F">
        <w:trPr>
          <w:trHeight w:val="239"/>
          <w:jc w:val="center"/>
        </w:trPr>
        <w:tc>
          <w:tcPr>
            <w:tcW w:w="1203" w:type="dxa"/>
            <w:vMerge w:val="restart"/>
          </w:tcPr>
          <w:p w14:paraId="6AC7F57C" w14:textId="77777777" w:rsidR="005F342D" w:rsidRPr="00BE736F" w:rsidRDefault="005F342D" w:rsidP="002E468A">
            <w:pPr>
              <w:spacing w:line="240" w:lineRule="auto"/>
              <w:jc w:val="center"/>
              <w:rPr>
                <w:rFonts w:cs="Times New Roman"/>
                <w:sz w:val="16"/>
                <w:szCs w:val="16"/>
              </w:rPr>
            </w:pPr>
            <w:r w:rsidRPr="00BE736F">
              <w:rPr>
                <w:rFonts w:cs="Times New Roman"/>
                <w:sz w:val="16"/>
                <w:szCs w:val="16"/>
              </w:rPr>
              <w:t>Site</w:t>
            </w:r>
          </w:p>
        </w:tc>
        <w:tc>
          <w:tcPr>
            <w:tcW w:w="2482" w:type="dxa"/>
            <w:gridSpan w:val="2"/>
          </w:tcPr>
          <w:p w14:paraId="142197AD" w14:textId="77777777" w:rsidR="005F342D" w:rsidRPr="00BE736F" w:rsidRDefault="005F342D" w:rsidP="002E468A">
            <w:pPr>
              <w:spacing w:line="240" w:lineRule="auto"/>
              <w:jc w:val="center"/>
              <w:rPr>
                <w:rFonts w:cs="Times New Roman"/>
                <w:sz w:val="16"/>
                <w:szCs w:val="16"/>
              </w:rPr>
            </w:pPr>
            <w:r w:rsidRPr="00BE736F">
              <w:rPr>
                <w:rFonts w:cs="Times New Roman"/>
                <w:sz w:val="16"/>
                <w:szCs w:val="16"/>
              </w:rPr>
              <w:t>FN concentration</w:t>
            </w:r>
          </w:p>
        </w:tc>
        <w:tc>
          <w:tcPr>
            <w:tcW w:w="2610" w:type="dxa"/>
            <w:gridSpan w:val="2"/>
          </w:tcPr>
          <w:p w14:paraId="67C4849D" w14:textId="77777777" w:rsidR="005F342D" w:rsidRPr="00BE736F" w:rsidRDefault="005F342D" w:rsidP="002E468A">
            <w:pPr>
              <w:spacing w:line="240" w:lineRule="auto"/>
              <w:jc w:val="center"/>
              <w:rPr>
                <w:rFonts w:cs="Times New Roman"/>
                <w:sz w:val="16"/>
                <w:szCs w:val="16"/>
              </w:rPr>
            </w:pPr>
            <w:r w:rsidRPr="00BE736F">
              <w:rPr>
                <w:rFonts w:cs="Times New Roman"/>
                <w:sz w:val="16"/>
                <w:szCs w:val="16"/>
              </w:rPr>
              <w:t>FN flux</w:t>
            </w:r>
          </w:p>
        </w:tc>
      </w:tr>
      <w:tr w:rsidR="005F342D" w:rsidRPr="00BE736F" w14:paraId="55D861EB" w14:textId="77777777" w:rsidTr="00BE736F">
        <w:trPr>
          <w:trHeight w:val="478"/>
          <w:jc w:val="center"/>
        </w:trPr>
        <w:tc>
          <w:tcPr>
            <w:tcW w:w="1203" w:type="dxa"/>
            <w:vMerge/>
          </w:tcPr>
          <w:p w14:paraId="6A2DF27B" w14:textId="77777777" w:rsidR="005F342D" w:rsidRPr="00BE736F" w:rsidRDefault="005F342D" w:rsidP="002E468A">
            <w:pPr>
              <w:spacing w:line="240" w:lineRule="auto"/>
              <w:jc w:val="center"/>
              <w:rPr>
                <w:rFonts w:cs="Times New Roman"/>
                <w:sz w:val="16"/>
                <w:szCs w:val="16"/>
              </w:rPr>
            </w:pPr>
          </w:p>
        </w:tc>
        <w:tc>
          <w:tcPr>
            <w:tcW w:w="1222" w:type="dxa"/>
          </w:tcPr>
          <w:p w14:paraId="7FBC5570" w14:textId="584A72A1" w:rsidR="005F342D" w:rsidRPr="00BE736F" w:rsidRDefault="005F342D" w:rsidP="002E468A">
            <w:pPr>
              <w:spacing w:line="240" w:lineRule="auto"/>
              <w:jc w:val="center"/>
              <w:rPr>
                <w:rFonts w:cs="Times New Roman"/>
                <w:sz w:val="16"/>
                <w:szCs w:val="16"/>
              </w:rPr>
            </w:pPr>
            <w:r w:rsidRPr="00BE736F">
              <w:rPr>
                <w:rFonts w:cs="Times New Roman"/>
                <w:sz w:val="16"/>
                <w:szCs w:val="16"/>
              </w:rPr>
              <w:t>200</w:t>
            </w:r>
            <w:r w:rsidR="003867D1" w:rsidRPr="00BE736F">
              <w:rPr>
                <w:rFonts w:cs="Times New Roman"/>
                <w:sz w:val="16"/>
                <w:szCs w:val="16"/>
              </w:rPr>
              <w:t>9-2015</w:t>
            </w:r>
          </w:p>
        </w:tc>
        <w:tc>
          <w:tcPr>
            <w:tcW w:w="1260" w:type="dxa"/>
          </w:tcPr>
          <w:p w14:paraId="77269415" w14:textId="40516896" w:rsidR="005F342D" w:rsidRPr="00BE736F" w:rsidRDefault="005F342D" w:rsidP="002E468A">
            <w:pPr>
              <w:spacing w:line="240" w:lineRule="auto"/>
              <w:jc w:val="center"/>
              <w:rPr>
                <w:rFonts w:cs="Times New Roman"/>
                <w:sz w:val="16"/>
                <w:szCs w:val="16"/>
              </w:rPr>
            </w:pPr>
            <w:r w:rsidRPr="00BE736F">
              <w:rPr>
                <w:rFonts w:cs="Times New Roman"/>
                <w:sz w:val="16"/>
                <w:szCs w:val="16"/>
              </w:rPr>
              <w:t>2015-202</w:t>
            </w:r>
            <w:r w:rsidR="003867D1" w:rsidRPr="00BE736F">
              <w:rPr>
                <w:rFonts w:cs="Times New Roman"/>
                <w:sz w:val="16"/>
                <w:szCs w:val="16"/>
              </w:rPr>
              <w:t>1</w:t>
            </w:r>
          </w:p>
        </w:tc>
        <w:tc>
          <w:tcPr>
            <w:tcW w:w="1260" w:type="dxa"/>
          </w:tcPr>
          <w:p w14:paraId="1E0BE723" w14:textId="17B57545" w:rsidR="005F342D" w:rsidRPr="00BE736F" w:rsidRDefault="005F342D" w:rsidP="002E468A">
            <w:pPr>
              <w:spacing w:line="240" w:lineRule="auto"/>
              <w:jc w:val="center"/>
              <w:rPr>
                <w:rFonts w:cs="Times New Roman"/>
                <w:sz w:val="16"/>
                <w:szCs w:val="16"/>
              </w:rPr>
            </w:pPr>
            <w:r w:rsidRPr="00BE736F">
              <w:rPr>
                <w:rFonts w:cs="Times New Roman"/>
                <w:sz w:val="16"/>
                <w:szCs w:val="16"/>
              </w:rPr>
              <w:t>200</w:t>
            </w:r>
            <w:r w:rsidR="003867D1" w:rsidRPr="00BE736F">
              <w:rPr>
                <w:rFonts w:cs="Times New Roman"/>
                <w:sz w:val="16"/>
                <w:szCs w:val="16"/>
              </w:rPr>
              <w:t>9</w:t>
            </w:r>
            <w:r w:rsidRPr="00BE736F">
              <w:rPr>
                <w:rFonts w:cs="Times New Roman"/>
                <w:sz w:val="16"/>
                <w:szCs w:val="16"/>
              </w:rPr>
              <w:t>-2</w:t>
            </w:r>
            <w:r w:rsidR="003867D1" w:rsidRPr="00BE736F">
              <w:rPr>
                <w:rFonts w:cs="Times New Roman"/>
                <w:sz w:val="16"/>
                <w:szCs w:val="16"/>
              </w:rPr>
              <w:t>015</w:t>
            </w:r>
          </w:p>
        </w:tc>
        <w:tc>
          <w:tcPr>
            <w:tcW w:w="1350" w:type="dxa"/>
          </w:tcPr>
          <w:p w14:paraId="49AEE6C8" w14:textId="6886CA20" w:rsidR="005F342D" w:rsidRPr="00BE736F" w:rsidRDefault="005F342D" w:rsidP="002E468A">
            <w:pPr>
              <w:spacing w:line="240" w:lineRule="auto"/>
              <w:jc w:val="center"/>
              <w:rPr>
                <w:rFonts w:cs="Times New Roman"/>
                <w:sz w:val="16"/>
                <w:szCs w:val="16"/>
              </w:rPr>
            </w:pPr>
            <w:r w:rsidRPr="00BE736F">
              <w:rPr>
                <w:rFonts w:cs="Times New Roman"/>
                <w:sz w:val="16"/>
                <w:szCs w:val="16"/>
              </w:rPr>
              <w:t>2015-202</w:t>
            </w:r>
            <w:r w:rsidR="003867D1" w:rsidRPr="00BE736F">
              <w:rPr>
                <w:rFonts w:cs="Times New Roman"/>
                <w:sz w:val="16"/>
                <w:szCs w:val="16"/>
              </w:rPr>
              <w:t>1</w:t>
            </w:r>
          </w:p>
        </w:tc>
      </w:tr>
      <w:tr w:rsidR="00BE736F" w:rsidRPr="00BE736F" w14:paraId="54E0E7A8" w14:textId="77777777" w:rsidTr="00BE736F">
        <w:trPr>
          <w:trHeight w:val="229"/>
          <w:jc w:val="center"/>
        </w:trPr>
        <w:tc>
          <w:tcPr>
            <w:tcW w:w="1203" w:type="dxa"/>
          </w:tcPr>
          <w:p w14:paraId="69315759" w14:textId="0492E97A" w:rsidR="00BE736F" w:rsidRPr="00BE736F" w:rsidRDefault="00BE736F" w:rsidP="00BE736F">
            <w:pPr>
              <w:spacing w:line="240" w:lineRule="auto"/>
              <w:jc w:val="center"/>
              <w:rPr>
                <w:rFonts w:cs="Times New Roman"/>
                <w:sz w:val="16"/>
                <w:szCs w:val="16"/>
              </w:rPr>
            </w:pPr>
            <w:r w:rsidRPr="00BE736F">
              <w:rPr>
                <w:rFonts w:cs="Times New Roman"/>
                <w:sz w:val="16"/>
                <w:szCs w:val="16"/>
              </w:rPr>
              <w:t>MAU</w:t>
            </w:r>
          </w:p>
        </w:tc>
        <w:tc>
          <w:tcPr>
            <w:tcW w:w="1222" w:type="dxa"/>
          </w:tcPr>
          <w:p w14:paraId="24F0EF83" w14:textId="34DB131A"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-0.3</w:t>
            </w:r>
          </w:p>
        </w:tc>
        <w:tc>
          <w:tcPr>
            <w:tcW w:w="1260" w:type="dxa"/>
          </w:tcPr>
          <w:p w14:paraId="4A2149EF" w14:textId="25B29E56"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1.2</w:t>
            </w:r>
          </w:p>
        </w:tc>
        <w:tc>
          <w:tcPr>
            <w:tcW w:w="1260" w:type="dxa"/>
          </w:tcPr>
          <w:p w14:paraId="7A1E2B64" w14:textId="614F46F5"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-0.2</w:t>
            </w:r>
          </w:p>
        </w:tc>
        <w:tc>
          <w:tcPr>
            <w:tcW w:w="1350" w:type="dxa"/>
          </w:tcPr>
          <w:p w14:paraId="727385CC" w14:textId="75BD6EC4"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1.8</w:t>
            </w:r>
          </w:p>
        </w:tc>
      </w:tr>
      <w:tr w:rsidR="00BE736F" w:rsidRPr="00BE736F" w14:paraId="3229C6BE" w14:textId="77777777" w:rsidTr="00BE736F">
        <w:trPr>
          <w:trHeight w:val="239"/>
          <w:jc w:val="center"/>
        </w:trPr>
        <w:tc>
          <w:tcPr>
            <w:tcW w:w="1203" w:type="dxa"/>
          </w:tcPr>
          <w:p w14:paraId="5323FE4F" w14:textId="658D75D1" w:rsidR="00BE736F" w:rsidRPr="00BE736F" w:rsidRDefault="00BE736F" w:rsidP="00BE736F">
            <w:pPr>
              <w:spacing w:line="240" w:lineRule="auto"/>
              <w:jc w:val="center"/>
              <w:rPr>
                <w:rFonts w:cs="Times New Roman"/>
                <w:sz w:val="16"/>
                <w:szCs w:val="16"/>
              </w:rPr>
            </w:pPr>
            <w:r w:rsidRPr="00BE736F">
              <w:rPr>
                <w:rFonts w:cs="Times New Roman"/>
                <w:sz w:val="16"/>
                <w:szCs w:val="16"/>
              </w:rPr>
              <w:t>TIF</w:t>
            </w:r>
          </w:p>
        </w:tc>
        <w:tc>
          <w:tcPr>
            <w:tcW w:w="1222" w:type="dxa"/>
          </w:tcPr>
          <w:p w14:paraId="26DFF438" w14:textId="559BBB2F"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1.7</w:t>
            </w:r>
          </w:p>
        </w:tc>
        <w:tc>
          <w:tcPr>
            <w:tcW w:w="1260" w:type="dxa"/>
          </w:tcPr>
          <w:p w14:paraId="78A8C1D0" w14:textId="1CC96BEB"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-0.6</w:t>
            </w:r>
          </w:p>
        </w:tc>
        <w:tc>
          <w:tcPr>
            <w:tcW w:w="1260" w:type="dxa"/>
          </w:tcPr>
          <w:p w14:paraId="7D202E9D" w14:textId="42EB6CCA"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2.3</w:t>
            </w:r>
          </w:p>
        </w:tc>
        <w:tc>
          <w:tcPr>
            <w:tcW w:w="1350" w:type="dxa"/>
          </w:tcPr>
          <w:p w14:paraId="56A92629" w14:textId="4A998367"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0.7</w:t>
            </w:r>
          </w:p>
        </w:tc>
      </w:tr>
      <w:tr w:rsidR="00BE736F" w:rsidRPr="00BE736F" w14:paraId="3F70C7E3" w14:textId="77777777" w:rsidTr="00BE736F">
        <w:trPr>
          <w:trHeight w:val="239"/>
          <w:jc w:val="center"/>
        </w:trPr>
        <w:tc>
          <w:tcPr>
            <w:tcW w:w="1203" w:type="dxa"/>
          </w:tcPr>
          <w:p w14:paraId="07BA2452" w14:textId="68A25EF7" w:rsidR="00BE736F" w:rsidRPr="00BE736F" w:rsidRDefault="00BE736F" w:rsidP="00BE736F">
            <w:pPr>
              <w:spacing w:line="240" w:lineRule="auto"/>
              <w:jc w:val="center"/>
              <w:rPr>
                <w:rFonts w:cs="Times New Roman"/>
                <w:sz w:val="16"/>
                <w:szCs w:val="16"/>
              </w:rPr>
            </w:pPr>
            <w:r w:rsidRPr="00BE736F">
              <w:rPr>
                <w:rFonts w:cs="Times New Roman"/>
                <w:sz w:val="16"/>
                <w:szCs w:val="16"/>
              </w:rPr>
              <w:t>BLA</w:t>
            </w:r>
          </w:p>
        </w:tc>
        <w:tc>
          <w:tcPr>
            <w:tcW w:w="1222" w:type="dxa"/>
          </w:tcPr>
          <w:p w14:paraId="0B10013C" w14:textId="1B45E1CB"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5.1</w:t>
            </w:r>
          </w:p>
        </w:tc>
        <w:tc>
          <w:tcPr>
            <w:tcW w:w="1260" w:type="dxa"/>
          </w:tcPr>
          <w:p w14:paraId="000C0B0E" w14:textId="3ED69494"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2.7</w:t>
            </w:r>
          </w:p>
        </w:tc>
        <w:tc>
          <w:tcPr>
            <w:tcW w:w="1260" w:type="dxa"/>
          </w:tcPr>
          <w:p w14:paraId="6910CAA9" w14:textId="104B757C"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0.5</w:t>
            </w:r>
          </w:p>
        </w:tc>
        <w:tc>
          <w:tcPr>
            <w:tcW w:w="1350" w:type="dxa"/>
          </w:tcPr>
          <w:p w14:paraId="443BA68A" w14:textId="2EF7448F"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2.2</w:t>
            </w:r>
          </w:p>
        </w:tc>
      </w:tr>
      <w:tr w:rsidR="00BE736F" w:rsidRPr="00BE736F" w14:paraId="3ED22086" w14:textId="77777777" w:rsidTr="00BE736F">
        <w:trPr>
          <w:trHeight w:val="239"/>
          <w:jc w:val="center"/>
        </w:trPr>
        <w:tc>
          <w:tcPr>
            <w:tcW w:w="1203" w:type="dxa"/>
          </w:tcPr>
          <w:p w14:paraId="64B11B71" w14:textId="24309D26" w:rsidR="00BE736F" w:rsidRPr="00BE736F" w:rsidRDefault="00BE736F" w:rsidP="00BE736F">
            <w:pPr>
              <w:spacing w:line="240" w:lineRule="auto"/>
              <w:jc w:val="center"/>
              <w:rPr>
                <w:rFonts w:cs="Times New Roman"/>
                <w:sz w:val="16"/>
                <w:szCs w:val="16"/>
              </w:rPr>
            </w:pPr>
            <w:r w:rsidRPr="00BE736F">
              <w:rPr>
                <w:rFonts w:cs="Times New Roman"/>
                <w:sz w:val="16"/>
                <w:szCs w:val="16"/>
              </w:rPr>
              <w:t>SAN</w:t>
            </w:r>
          </w:p>
        </w:tc>
        <w:tc>
          <w:tcPr>
            <w:tcW w:w="1222" w:type="dxa"/>
          </w:tcPr>
          <w:p w14:paraId="79769EEE" w14:textId="42D54B8A"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-0.3</w:t>
            </w:r>
          </w:p>
        </w:tc>
        <w:tc>
          <w:tcPr>
            <w:tcW w:w="1260" w:type="dxa"/>
          </w:tcPr>
          <w:p w14:paraId="56BC0B58" w14:textId="55ABE1BE"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3.8</w:t>
            </w:r>
          </w:p>
        </w:tc>
        <w:tc>
          <w:tcPr>
            <w:tcW w:w="1260" w:type="dxa"/>
          </w:tcPr>
          <w:p w14:paraId="070C049E" w14:textId="1C040562"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0.6</w:t>
            </w:r>
          </w:p>
        </w:tc>
        <w:tc>
          <w:tcPr>
            <w:tcW w:w="1350" w:type="dxa"/>
          </w:tcPr>
          <w:p w14:paraId="7319C61C" w14:textId="35BDE5DA"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3.7</w:t>
            </w:r>
          </w:p>
        </w:tc>
      </w:tr>
      <w:tr w:rsidR="00BE736F" w:rsidRPr="00BE736F" w14:paraId="1915F4D7" w14:textId="77777777" w:rsidTr="00BE736F">
        <w:trPr>
          <w:trHeight w:val="239"/>
          <w:jc w:val="center"/>
        </w:trPr>
        <w:tc>
          <w:tcPr>
            <w:tcW w:w="1203" w:type="dxa"/>
          </w:tcPr>
          <w:p w14:paraId="1E36945E" w14:textId="63E995E2" w:rsidR="00BE736F" w:rsidRPr="00BE736F" w:rsidRDefault="00BE736F" w:rsidP="00BE736F">
            <w:pPr>
              <w:spacing w:line="240" w:lineRule="auto"/>
              <w:jc w:val="center"/>
              <w:rPr>
                <w:rFonts w:cs="Times New Roman"/>
                <w:sz w:val="16"/>
                <w:szCs w:val="16"/>
              </w:rPr>
            </w:pPr>
            <w:r w:rsidRPr="00BE736F">
              <w:rPr>
                <w:rFonts w:cs="Times New Roman"/>
                <w:sz w:val="16"/>
                <w:szCs w:val="16"/>
              </w:rPr>
              <w:t>HON</w:t>
            </w:r>
          </w:p>
        </w:tc>
        <w:tc>
          <w:tcPr>
            <w:tcW w:w="1222" w:type="dxa"/>
          </w:tcPr>
          <w:p w14:paraId="2EE68BE7" w14:textId="5771EDEE"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0.6</w:t>
            </w:r>
          </w:p>
        </w:tc>
        <w:tc>
          <w:tcPr>
            <w:tcW w:w="1260" w:type="dxa"/>
          </w:tcPr>
          <w:p w14:paraId="5D91E7C5" w14:textId="22D229F1"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1.3</w:t>
            </w:r>
          </w:p>
        </w:tc>
        <w:tc>
          <w:tcPr>
            <w:tcW w:w="1260" w:type="dxa"/>
          </w:tcPr>
          <w:p w14:paraId="41755C04" w14:textId="2A74160A"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1.3</w:t>
            </w:r>
          </w:p>
        </w:tc>
        <w:tc>
          <w:tcPr>
            <w:tcW w:w="1350" w:type="dxa"/>
          </w:tcPr>
          <w:p w14:paraId="4E57CB10" w14:textId="7BD2A530"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1.3</w:t>
            </w:r>
          </w:p>
        </w:tc>
      </w:tr>
      <w:tr w:rsidR="00BE736F" w:rsidRPr="00BE736F" w14:paraId="699DE2B9" w14:textId="77777777" w:rsidTr="00BE736F">
        <w:trPr>
          <w:trHeight w:val="229"/>
          <w:jc w:val="center"/>
        </w:trPr>
        <w:tc>
          <w:tcPr>
            <w:tcW w:w="1203" w:type="dxa"/>
          </w:tcPr>
          <w:p w14:paraId="7A5E8F47" w14:textId="2DEADFEE" w:rsidR="00BE736F" w:rsidRPr="00BE736F" w:rsidRDefault="00BE736F" w:rsidP="00BE736F">
            <w:pPr>
              <w:spacing w:line="240" w:lineRule="auto"/>
              <w:jc w:val="center"/>
              <w:rPr>
                <w:rFonts w:cs="Times New Roman"/>
                <w:sz w:val="16"/>
                <w:szCs w:val="16"/>
              </w:rPr>
            </w:pPr>
            <w:r w:rsidRPr="00BE736F">
              <w:rPr>
                <w:rFonts w:cs="Times New Roman"/>
                <w:sz w:val="16"/>
                <w:szCs w:val="16"/>
              </w:rPr>
              <w:t>RAI</w:t>
            </w:r>
          </w:p>
        </w:tc>
        <w:tc>
          <w:tcPr>
            <w:tcW w:w="1222" w:type="dxa"/>
          </w:tcPr>
          <w:p w14:paraId="18AB9952" w14:textId="47AAF9E9"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3.8</w:t>
            </w:r>
          </w:p>
        </w:tc>
        <w:tc>
          <w:tcPr>
            <w:tcW w:w="1260" w:type="dxa"/>
          </w:tcPr>
          <w:p w14:paraId="0A25A274" w14:textId="55A047F7"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1.5</w:t>
            </w:r>
          </w:p>
        </w:tc>
        <w:tc>
          <w:tcPr>
            <w:tcW w:w="1260" w:type="dxa"/>
          </w:tcPr>
          <w:p w14:paraId="60D5F070" w14:textId="0233E28D"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4.5</w:t>
            </w:r>
          </w:p>
        </w:tc>
        <w:tc>
          <w:tcPr>
            <w:tcW w:w="1350" w:type="dxa"/>
          </w:tcPr>
          <w:p w14:paraId="0A75F0A7" w14:textId="473AE7CE" w:rsidR="00BE736F" w:rsidRPr="00BE736F" w:rsidRDefault="00BE736F" w:rsidP="00BE736F">
            <w:pPr>
              <w:spacing w:line="240" w:lineRule="auto"/>
              <w:jc w:val="center"/>
              <w:rPr>
                <w:rFonts w:cs="Times New Roman"/>
                <w:sz w:val="16"/>
                <w:szCs w:val="16"/>
              </w:rPr>
            </w:pPr>
            <w:r w:rsidRPr="00BE736F">
              <w:rPr>
                <w:rFonts w:cs="Times New Roman"/>
                <w:color w:val="000000"/>
                <w:sz w:val="16"/>
                <w:szCs w:val="16"/>
              </w:rPr>
              <w:t>2.2</w:t>
            </w:r>
          </w:p>
        </w:tc>
      </w:tr>
      <w:tr w:rsidR="00BE736F" w:rsidRPr="00BE736F" w14:paraId="2E6E6490" w14:textId="77777777" w:rsidTr="00BE736F">
        <w:trPr>
          <w:trHeight w:val="239"/>
          <w:jc w:val="center"/>
        </w:trPr>
        <w:tc>
          <w:tcPr>
            <w:tcW w:w="1203" w:type="dxa"/>
          </w:tcPr>
          <w:p w14:paraId="786285DD" w14:textId="61446ED3" w:rsidR="00BE736F" w:rsidRPr="00BE736F" w:rsidRDefault="00BE736F" w:rsidP="00BE736F">
            <w:pPr>
              <w:spacing w:line="240" w:lineRule="auto"/>
              <w:jc w:val="center"/>
              <w:rPr>
                <w:rFonts w:cs="Times New Roman"/>
                <w:sz w:val="16"/>
                <w:szCs w:val="16"/>
              </w:rPr>
            </w:pPr>
            <w:r w:rsidRPr="00BE736F">
              <w:rPr>
                <w:rFonts w:cs="Times New Roman"/>
                <w:sz w:val="16"/>
                <w:szCs w:val="16"/>
              </w:rPr>
              <w:t>Average</w:t>
            </w:r>
          </w:p>
        </w:tc>
        <w:tc>
          <w:tcPr>
            <w:tcW w:w="1222" w:type="dxa"/>
          </w:tcPr>
          <w:p w14:paraId="76B6667E" w14:textId="2C2D83F1" w:rsidR="00BE736F" w:rsidRPr="00BE736F" w:rsidRDefault="00BE736F" w:rsidP="00BE736F">
            <w:pPr>
              <w:spacing w:line="240" w:lineRule="auto"/>
              <w:jc w:val="center"/>
              <w:rPr>
                <w:rFonts w:cs="Times New Roman"/>
                <w:color w:val="000000"/>
                <w:sz w:val="16"/>
                <w:szCs w:val="16"/>
              </w:rPr>
            </w:pPr>
            <w:r w:rsidRPr="00BE736F">
              <w:rPr>
                <w:rFonts w:cs="Times New Roman"/>
                <w:color w:val="000000"/>
                <w:sz w:val="16"/>
                <w:szCs w:val="16"/>
              </w:rPr>
              <w:t>1.8</w:t>
            </w:r>
          </w:p>
        </w:tc>
        <w:tc>
          <w:tcPr>
            <w:tcW w:w="1260" w:type="dxa"/>
          </w:tcPr>
          <w:p w14:paraId="4E86EFAD" w14:textId="4513FA3E" w:rsidR="00BE736F" w:rsidRPr="00BE736F" w:rsidRDefault="00BE736F" w:rsidP="00BE736F">
            <w:pPr>
              <w:spacing w:line="240" w:lineRule="auto"/>
              <w:jc w:val="center"/>
              <w:rPr>
                <w:rFonts w:cs="Times New Roman"/>
                <w:color w:val="000000"/>
                <w:sz w:val="16"/>
                <w:szCs w:val="16"/>
              </w:rPr>
            </w:pPr>
            <w:r w:rsidRPr="00BE736F">
              <w:rPr>
                <w:rFonts w:cs="Times New Roman"/>
                <w:color w:val="000000"/>
                <w:sz w:val="16"/>
                <w:szCs w:val="16"/>
              </w:rPr>
              <w:t>1.7</w:t>
            </w:r>
          </w:p>
        </w:tc>
        <w:tc>
          <w:tcPr>
            <w:tcW w:w="1260" w:type="dxa"/>
          </w:tcPr>
          <w:p w14:paraId="29A59C16" w14:textId="406B40AE" w:rsidR="00BE736F" w:rsidRPr="00BE736F" w:rsidRDefault="00BE736F" w:rsidP="00BE736F">
            <w:pPr>
              <w:spacing w:line="240" w:lineRule="auto"/>
              <w:jc w:val="center"/>
              <w:rPr>
                <w:rFonts w:cs="Times New Roman"/>
                <w:color w:val="000000"/>
                <w:sz w:val="16"/>
                <w:szCs w:val="16"/>
              </w:rPr>
            </w:pPr>
            <w:r w:rsidRPr="00BE736F">
              <w:rPr>
                <w:rFonts w:cs="Times New Roman"/>
                <w:color w:val="000000"/>
                <w:sz w:val="16"/>
                <w:szCs w:val="16"/>
              </w:rPr>
              <w:t>1.5</w:t>
            </w:r>
          </w:p>
        </w:tc>
        <w:tc>
          <w:tcPr>
            <w:tcW w:w="1350" w:type="dxa"/>
          </w:tcPr>
          <w:p w14:paraId="5161C278" w14:textId="3E8343AD" w:rsidR="00BE736F" w:rsidRPr="00BE736F" w:rsidRDefault="00BE736F" w:rsidP="00BE736F">
            <w:pPr>
              <w:spacing w:line="240" w:lineRule="auto"/>
              <w:jc w:val="center"/>
              <w:rPr>
                <w:rFonts w:cs="Times New Roman"/>
                <w:color w:val="000000"/>
                <w:sz w:val="16"/>
                <w:szCs w:val="16"/>
              </w:rPr>
            </w:pPr>
            <w:r w:rsidRPr="00BE736F">
              <w:rPr>
                <w:rFonts w:cs="Times New Roman"/>
                <w:color w:val="000000"/>
                <w:sz w:val="16"/>
                <w:szCs w:val="16"/>
              </w:rPr>
              <w:t>2.0</w:t>
            </w:r>
          </w:p>
        </w:tc>
      </w:tr>
    </w:tbl>
    <w:p w14:paraId="1CFB1009" w14:textId="7E1518FE" w:rsidR="00FA05EC" w:rsidRDefault="00FA05EC" w:rsidP="008A7740"/>
    <w:p w14:paraId="09F4E66A" w14:textId="77777777" w:rsidR="00552A1A" w:rsidRDefault="00552A1A" w:rsidP="00552A1A">
      <w:pPr>
        <w:pStyle w:val="Heading2"/>
      </w:pPr>
      <w:r>
        <w:t>Influence of flow conditions on P trends</w:t>
      </w:r>
    </w:p>
    <w:p w14:paraId="7207DCF1" w14:textId="72ACBEE2" w:rsidR="00552A1A" w:rsidRDefault="00BD53EA" w:rsidP="008A7740">
      <w:r>
        <w:rPr>
          <w:noProof/>
        </w:rPr>
        <w:drawing>
          <wp:inline distT="0" distB="0" distL="0" distR="0" wp14:anchorId="6823D77D" wp14:editId="025BE835">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1800"/>
                    </a:xfrm>
                    <a:prstGeom prst="rect">
                      <a:avLst/>
                    </a:prstGeom>
                  </pic:spPr>
                </pic:pic>
              </a:graphicData>
            </a:graphic>
          </wp:inline>
        </w:drawing>
      </w:r>
    </w:p>
    <w:p w14:paraId="1AF3982A" w14:textId="5F82A51A" w:rsidR="00555C60" w:rsidRDefault="00BF765F" w:rsidP="00555C60">
      <w:pPr>
        <w:pStyle w:val="Heading2"/>
      </w:pPr>
      <w:r>
        <w:t>Seasonal</w:t>
      </w:r>
      <w:r w:rsidR="008A7740">
        <w:t xml:space="preserve"> d</w:t>
      </w:r>
      <w:r w:rsidR="00BE47A0">
        <w:t xml:space="preserve">ynamics </w:t>
      </w:r>
      <w:r w:rsidR="00552A1A">
        <w:t xml:space="preserve">in </w:t>
      </w:r>
      <w:r w:rsidR="008A7740">
        <w:t>P trends</w:t>
      </w:r>
    </w:p>
    <w:p w14:paraId="78E31294" w14:textId="1EB8E4A8" w:rsidR="00037B5E" w:rsidRDefault="00037B5E" w:rsidP="00037B5E">
      <w:pPr>
        <w:pStyle w:val="Heading3"/>
      </w:pPr>
      <w:r>
        <w:t xml:space="preserve">Fall (Oct-Nov) P dynamics in WLEB streams and </w:t>
      </w:r>
      <w:proofErr w:type="gramStart"/>
      <w:r>
        <w:t>rivers</w:t>
      </w:r>
      <w:proofErr w:type="gramEnd"/>
    </w:p>
    <w:p w14:paraId="3628C96A" w14:textId="72D0802A" w:rsidR="00A3285A" w:rsidRPr="00A3285A" w:rsidRDefault="00B63652" w:rsidP="00C21A9D">
      <w:pPr>
        <w:ind w:firstLine="720"/>
      </w:pPr>
      <w:r>
        <w:t xml:space="preserve">The P fluxes released during the fall season </w:t>
      </w:r>
      <w:r w:rsidR="00C21A9D">
        <w:t xml:space="preserve">encompassed 10 to 16% of the annual SRP FN flux and 8 to 12% of the annual TP flux (Table 4). From 2008-2022, trends in FN flux were upward at nearly every site for both SRP and TP (at Honey Creek, the fall SRP FN flux trend was slightly negative (-0.1 %/yr)). Upward trends were slightly greater for TP than SRP (Table </w:t>
      </w:r>
      <w:r w:rsidR="00C21A9D">
        <w:lastRenderedPageBreak/>
        <w:t xml:space="preserve">4). </w:t>
      </w:r>
      <w:r w:rsidR="00BD0587">
        <w:t>Relative to the whole period, fall SRP FN flux upwards trends in recent years (from 2015-2022) have either weakened or become downward trends at all sites except for Sandusky. This widespread weakening of upward trends or even switches to downward trends indicates that current management practices may be reducing SRP losses during the fall seasons. However, this is not the case for fall TP FN fluxes, where three of the sites showed increasing upward trends, one site saw no difference in its upward trend, and only three sites showed weakening upward trends or switches to downward trends. These trends indicate that fall TP losses have been increasing in the basin.</w:t>
      </w:r>
    </w:p>
    <w:p w14:paraId="209AEAAB" w14:textId="313FF7F8" w:rsidR="00A3285A" w:rsidRPr="00A3285A" w:rsidRDefault="00A3285A" w:rsidP="00A3285A">
      <w:pPr>
        <w:pStyle w:val="Caption"/>
      </w:pPr>
      <w:r>
        <w:t xml:space="preserve">Table </w:t>
      </w:r>
      <w:r w:rsidR="00B63652">
        <w:t>4</w:t>
      </w:r>
      <w:r>
        <w:t>:</w:t>
      </w:r>
      <w:r w:rsidR="00B63652">
        <w:t xml:space="preserve"> Overview of SRP and TP FN fluxes during the fall season. The fall season lasted from 1 Oct through 31 Nov. FN flux trends are reported as the rate of percent change (%) over the period of interest. The percentage of annual FN Flux is the mean percentage of the FN flux released during the fall season from 2008-2022.</w:t>
      </w:r>
    </w:p>
    <w:tbl>
      <w:tblPr>
        <w:tblStyle w:val="PlainTable2"/>
        <w:tblW w:w="0" w:type="auto"/>
        <w:tblLook w:val="04A0" w:firstRow="1" w:lastRow="0" w:firstColumn="1" w:lastColumn="0" w:noHBand="0" w:noVBand="1"/>
      </w:tblPr>
      <w:tblGrid>
        <w:gridCol w:w="1316"/>
        <w:gridCol w:w="1530"/>
        <w:gridCol w:w="1335"/>
        <w:gridCol w:w="1039"/>
        <w:gridCol w:w="1494"/>
        <w:gridCol w:w="1094"/>
        <w:gridCol w:w="1094"/>
      </w:tblGrid>
      <w:tr w:rsidR="00037B5E" w:rsidRPr="00A3285A" w14:paraId="7B20CFA5" w14:textId="77777777" w:rsidTr="007913D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16" w:type="dxa"/>
            <w:vMerge w:val="restart"/>
            <w:vAlign w:val="center"/>
          </w:tcPr>
          <w:p w14:paraId="3A4C9D85" w14:textId="77777777" w:rsidR="00037B5E" w:rsidRPr="00A3285A" w:rsidRDefault="00037B5E" w:rsidP="00B63652">
            <w:pPr>
              <w:spacing w:line="240" w:lineRule="auto"/>
              <w:jc w:val="center"/>
              <w:rPr>
                <w:rFonts w:cs="Times New Roman"/>
                <w:sz w:val="16"/>
                <w:szCs w:val="16"/>
              </w:rPr>
            </w:pPr>
            <w:r w:rsidRPr="00A3285A">
              <w:rPr>
                <w:rFonts w:cs="Times New Roman"/>
                <w:sz w:val="16"/>
                <w:szCs w:val="16"/>
              </w:rPr>
              <w:t>Sites</w:t>
            </w:r>
          </w:p>
        </w:tc>
        <w:tc>
          <w:tcPr>
            <w:tcW w:w="3904" w:type="dxa"/>
            <w:gridSpan w:val="3"/>
            <w:vAlign w:val="center"/>
          </w:tcPr>
          <w:p w14:paraId="2843C492" w14:textId="77777777" w:rsidR="00037B5E" w:rsidRPr="00A3285A" w:rsidRDefault="00037B5E" w:rsidP="00B63652">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sz w:val="16"/>
                <w:szCs w:val="16"/>
              </w:rPr>
              <w:t>SRP</w:t>
            </w:r>
          </w:p>
        </w:tc>
        <w:tc>
          <w:tcPr>
            <w:tcW w:w="3682" w:type="dxa"/>
            <w:gridSpan w:val="3"/>
            <w:vAlign w:val="center"/>
          </w:tcPr>
          <w:p w14:paraId="4AD8D2EE" w14:textId="77777777" w:rsidR="00037B5E" w:rsidRPr="00A3285A" w:rsidRDefault="00037B5E" w:rsidP="00B63652">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sz w:val="16"/>
                <w:szCs w:val="16"/>
              </w:rPr>
              <w:t>TP</w:t>
            </w:r>
          </w:p>
        </w:tc>
      </w:tr>
      <w:tr w:rsidR="00037B5E" w:rsidRPr="00A3285A" w14:paraId="0B1C408D" w14:textId="77777777" w:rsidTr="007913DC">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316" w:type="dxa"/>
            <w:vMerge/>
            <w:vAlign w:val="center"/>
          </w:tcPr>
          <w:p w14:paraId="34CAEF51" w14:textId="77777777" w:rsidR="00037B5E" w:rsidRPr="00A3285A" w:rsidRDefault="00037B5E" w:rsidP="00B63652">
            <w:pPr>
              <w:spacing w:line="240" w:lineRule="auto"/>
              <w:jc w:val="center"/>
              <w:rPr>
                <w:rFonts w:cs="Times New Roman"/>
                <w:sz w:val="16"/>
                <w:szCs w:val="16"/>
              </w:rPr>
            </w:pPr>
          </w:p>
        </w:tc>
        <w:tc>
          <w:tcPr>
            <w:tcW w:w="1530" w:type="dxa"/>
            <w:vMerge w:val="restart"/>
            <w:vAlign w:val="center"/>
          </w:tcPr>
          <w:p w14:paraId="684BD25C" w14:textId="06A600CE" w:rsidR="00037B5E" w:rsidRPr="00A3285A" w:rsidRDefault="00037B5E"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sz w:val="16"/>
                <w:szCs w:val="16"/>
              </w:rPr>
              <w:t xml:space="preserve">Percentage of annual FN </w:t>
            </w:r>
            <w:r w:rsidR="00B63652">
              <w:rPr>
                <w:rFonts w:cs="Times New Roman"/>
                <w:sz w:val="16"/>
                <w:szCs w:val="16"/>
              </w:rPr>
              <w:t>Flux</w:t>
            </w:r>
          </w:p>
        </w:tc>
        <w:tc>
          <w:tcPr>
            <w:tcW w:w="2374" w:type="dxa"/>
            <w:gridSpan w:val="2"/>
            <w:vAlign w:val="center"/>
          </w:tcPr>
          <w:p w14:paraId="3FD20EC1" w14:textId="77777777" w:rsidR="00037B5E" w:rsidRPr="00A3285A" w:rsidRDefault="00037B5E"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sz w:val="16"/>
                <w:szCs w:val="16"/>
              </w:rPr>
              <w:t>FN flux trends</w:t>
            </w:r>
          </w:p>
        </w:tc>
        <w:tc>
          <w:tcPr>
            <w:tcW w:w="1494" w:type="dxa"/>
            <w:vMerge w:val="restart"/>
            <w:vAlign w:val="center"/>
          </w:tcPr>
          <w:p w14:paraId="788CDB33" w14:textId="7DB96618" w:rsidR="00037B5E" w:rsidRPr="00A3285A" w:rsidRDefault="00037B5E"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sz w:val="16"/>
                <w:szCs w:val="16"/>
              </w:rPr>
              <w:t xml:space="preserve">Percentage of annual FN </w:t>
            </w:r>
            <w:r w:rsidR="00B63652">
              <w:rPr>
                <w:rFonts w:cs="Times New Roman"/>
                <w:sz w:val="16"/>
                <w:szCs w:val="16"/>
              </w:rPr>
              <w:t>Flux</w:t>
            </w:r>
          </w:p>
        </w:tc>
        <w:tc>
          <w:tcPr>
            <w:tcW w:w="2188" w:type="dxa"/>
            <w:gridSpan w:val="2"/>
            <w:vAlign w:val="center"/>
          </w:tcPr>
          <w:p w14:paraId="4EC2329B" w14:textId="77777777" w:rsidR="00037B5E" w:rsidRPr="00A3285A" w:rsidRDefault="00037B5E"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sz w:val="16"/>
                <w:szCs w:val="16"/>
              </w:rPr>
              <w:t>FN flux trends</w:t>
            </w:r>
          </w:p>
        </w:tc>
      </w:tr>
      <w:tr w:rsidR="00037B5E" w:rsidRPr="00A3285A" w14:paraId="0010A3DC" w14:textId="77777777" w:rsidTr="007913DC">
        <w:trPr>
          <w:trHeight w:val="263"/>
        </w:trPr>
        <w:tc>
          <w:tcPr>
            <w:cnfStyle w:val="001000000000" w:firstRow="0" w:lastRow="0" w:firstColumn="1" w:lastColumn="0" w:oddVBand="0" w:evenVBand="0" w:oddHBand="0" w:evenHBand="0" w:firstRowFirstColumn="0" w:firstRowLastColumn="0" w:lastRowFirstColumn="0" w:lastRowLastColumn="0"/>
            <w:tcW w:w="1316" w:type="dxa"/>
            <w:vMerge/>
            <w:vAlign w:val="center"/>
          </w:tcPr>
          <w:p w14:paraId="55E50556" w14:textId="77777777" w:rsidR="00037B5E" w:rsidRPr="00A3285A" w:rsidRDefault="00037B5E" w:rsidP="00B63652">
            <w:pPr>
              <w:spacing w:line="240" w:lineRule="auto"/>
              <w:jc w:val="center"/>
              <w:rPr>
                <w:rFonts w:cs="Times New Roman"/>
                <w:sz w:val="16"/>
                <w:szCs w:val="16"/>
              </w:rPr>
            </w:pPr>
          </w:p>
        </w:tc>
        <w:tc>
          <w:tcPr>
            <w:tcW w:w="1530" w:type="dxa"/>
            <w:vMerge/>
            <w:vAlign w:val="center"/>
          </w:tcPr>
          <w:p w14:paraId="4E0AA336" w14:textId="77777777" w:rsidR="00037B5E" w:rsidRPr="00A3285A" w:rsidRDefault="00037B5E"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335" w:type="dxa"/>
            <w:vAlign w:val="center"/>
          </w:tcPr>
          <w:p w14:paraId="092428D6" w14:textId="77777777" w:rsidR="00037B5E" w:rsidRPr="00A3285A" w:rsidRDefault="00037B5E"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sz w:val="16"/>
                <w:szCs w:val="16"/>
              </w:rPr>
              <w:t>2008-2022</w:t>
            </w:r>
          </w:p>
        </w:tc>
        <w:tc>
          <w:tcPr>
            <w:tcW w:w="1039" w:type="dxa"/>
            <w:vAlign w:val="center"/>
          </w:tcPr>
          <w:p w14:paraId="4B3F4187" w14:textId="77777777" w:rsidR="00037B5E" w:rsidRPr="00A3285A" w:rsidRDefault="00037B5E"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sz w:val="16"/>
                <w:szCs w:val="16"/>
              </w:rPr>
              <w:t>2015-2022</w:t>
            </w:r>
          </w:p>
        </w:tc>
        <w:tc>
          <w:tcPr>
            <w:tcW w:w="1494" w:type="dxa"/>
            <w:vMerge/>
            <w:vAlign w:val="center"/>
          </w:tcPr>
          <w:p w14:paraId="54C1C331" w14:textId="77777777" w:rsidR="00037B5E" w:rsidRPr="00A3285A" w:rsidRDefault="00037B5E"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094" w:type="dxa"/>
            <w:vAlign w:val="center"/>
          </w:tcPr>
          <w:p w14:paraId="2869FEE7" w14:textId="77777777" w:rsidR="00037B5E" w:rsidRPr="00A3285A" w:rsidRDefault="00037B5E"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sz w:val="16"/>
                <w:szCs w:val="16"/>
              </w:rPr>
              <w:t>2008-2022</w:t>
            </w:r>
          </w:p>
        </w:tc>
        <w:tc>
          <w:tcPr>
            <w:tcW w:w="1094" w:type="dxa"/>
            <w:vAlign w:val="center"/>
          </w:tcPr>
          <w:p w14:paraId="05649E11" w14:textId="77777777" w:rsidR="00037B5E" w:rsidRPr="00A3285A" w:rsidRDefault="00037B5E"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sz w:val="16"/>
                <w:szCs w:val="16"/>
              </w:rPr>
              <w:t>2015-2022</w:t>
            </w:r>
          </w:p>
        </w:tc>
      </w:tr>
      <w:tr w:rsidR="00037B5E" w:rsidRPr="00A3285A" w14:paraId="030CA50E" w14:textId="77777777" w:rsidTr="007913D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16" w:type="dxa"/>
            <w:vAlign w:val="center"/>
          </w:tcPr>
          <w:p w14:paraId="196ACC72" w14:textId="77777777" w:rsidR="00037B5E" w:rsidRPr="00A3285A" w:rsidRDefault="00037B5E" w:rsidP="00B63652">
            <w:pPr>
              <w:spacing w:line="240" w:lineRule="auto"/>
              <w:jc w:val="center"/>
              <w:rPr>
                <w:rFonts w:cs="Times New Roman"/>
                <w:sz w:val="16"/>
                <w:szCs w:val="16"/>
              </w:rPr>
            </w:pPr>
            <w:r w:rsidRPr="00A3285A">
              <w:rPr>
                <w:rFonts w:cs="Times New Roman"/>
                <w:sz w:val="16"/>
                <w:szCs w:val="16"/>
              </w:rPr>
              <w:t>BLA</w:t>
            </w:r>
          </w:p>
        </w:tc>
        <w:tc>
          <w:tcPr>
            <w:tcW w:w="1530" w:type="dxa"/>
            <w:vAlign w:val="center"/>
          </w:tcPr>
          <w:p w14:paraId="3131FA9F" w14:textId="59923F30" w:rsidR="00037B5E"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A3285A">
              <w:rPr>
                <w:rFonts w:cs="Times New Roman"/>
                <w:color w:val="000000"/>
                <w:sz w:val="16"/>
                <w:szCs w:val="16"/>
              </w:rPr>
              <w:t>12</w:t>
            </w:r>
          </w:p>
        </w:tc>
        <w:tc>
          <w:tcPr>
            <w:tcW w:w="1335" w:type="dxa"/>
            <w:vAlign w:val="center"/>
          </w:tcPr>
          <w:p w14:paraId="656878A6" w14:textId="1892E0B1" w:rsidR="00037B5E" w:rsidRPr="00A3285A" w:rsidRDefault="00037B5E"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3.0</w:t>
            </w:r>
          </w:p>
        </w:tc>
        <w:tc>
          <w:tcPr>
            <w:tcW w:w="1039" w:type="dxa"/>
            <w:vAlign w:val="center"/>
          </w:tcPr>
          <w:p w14:paraId="73E96C97" w14:textId="6DF07907" w:rsidR="00037B5E" w:rsidRPr="00A3285A" w:rsidRDefault="00037B5E"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2.5</w:t>
            </w:r>
          </w:p>
        </w:tc>
        <w:tc>
          <w:tcPr>
            <w:tcW w:w="1494" w:type="dxa"/>
            <w:vAlign w:val="center"/>
          </w:tcPr>
          <w:p w14:paraId="5CF7D976" w14:textId="790F1709" w:rsidR="00037B5E"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Pr>
                <w:rFonts w:cs="Times New Roman"/>
                <w:color w:val="000000"/>
                <w:sz w:val="16"/>
                <w:szCs w:val="16"/>
              </w:rPr>
              <w:t>9</w:t>
            </w:r>
          </w:p>
        </w:tc>
        <w:tc>
          <w:tcPr>
            <w:tcW w:w="1094" w:type="dxa"/>
            <w:vAlign w:val="center"/>
          </w:tcPr>
          <w:p w14:paraId="2B5E6068" w14:textId="147E22F9" w:rsidR="00037B5E" w:rsidRPr="00A3285A" w:rsidRDefault="00037B5E"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2.7</w:t>
            </w:r>
          </w:p>
        </w:tc>
        <w:tc>
          <w:tcPr>
            <w:tcW w:w="1094" w:type="dxa"/>
            <w:vAlign w:val="center"/>
          </w:tcPr>
          <w:p w14:paraId="5EA535C5" w14:textId="7DFE9F56" w:rsidR="00037B5E" w:rsidRPr="00A3285A" w:rsidRDefault="00037B5E"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3.6</w:t>
            </w:r>
          </w:p>
        </w:tc>
      </w:tr>
      <w:tr w:rsidR="00A3285A" w:rsidRPr="00A3285A" w14:paraId="1C3E20F2" w14:textId="77777777" w:rsidTr="007913DC">
        <w:trPr>
          <w:trHeight w:val="263"/>
        </w:trPr>
        <w:tc>
          <w:tcPr>
            <w:cnfStyle w:val="001000000000" w:firstRow="0" w:lastRow="0" w:firstColumn="1" w:lastColumn="0" w:oddVBand="0" w:evenVBand="0" w:oddHBand="0" w:evenHBand="0" w:firstRowFirstColumn="0" w:firstRowLastColumn="0" w:lastRowFirstColumn="0" w:lastRowLastColumn="0"/>
            <w:tcW w:w="1316" w:type="dxa"/>
            <w:vAlign w:val="center"/>
          </w:tcPr>
          <w:p w14:paraId="1724BF70" w14:textId="77777777" w:rsidR="00A3285A" w:rsidRPr="00A3285A" w:rsidRDefault="00A3285A" w:rsidP="00B63652">
            <w:pPr>
              <w:spacing w:line="240" w:lineRule="auto"/>
              <w:jc w:val="center"/>
              <w:rPr>
                <w:rFonts w:cs="Times New Roman"/>
                <w:sz w:val="16"/>
                <w:szCs w:val="16"/>
              </w:rPr>
            </w:pPr>
            <w:r w:rsidRPr="00A3285A">
              <w:rPr>
                <w:rFonts w:cs="Times New Roman"/>
                <w:sz w:val="16"/>
                <w:szCs w:val="16"/>
              </w:rPr>
              <w:t>HON</w:t>
            </w:r>
          </w:p>
        </w:tc>
        <w:tc>
          <w:tcPr>
            <w:tcW w:w="1530" w:type="dxa"/>
            <w:vAlign w:val="center"/>
          </w:tcPr>
          <w:p w14:paraId="77D0EBC0" w14:textId="0E933BC9"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1</w:t>
            </w:r>
            <w:r>
              <w:rPr>
                <w:rFonts w:cs="Times New Roman"/>
                <w:color w:val="000000"/>
                <w:sz w:val="16"/>
                <w:szCs w:val="16"/>
              </w:rPr>
              <w:t>6</w:t>
            </w:r>
          </w:p>
        </w:tc>
        <w:tc>
          <w:tcPr>
            <w:tcW w:w="1335" w:type="dxa"/>
            <w:vAlign w:val="center"/>
          </w:tcPr>
          <w:p w14:paraId="24F12135" w14:textId="25D9BD73"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-0.1</w:t>
            </w:r>
          </w:p>
        </w:tc>
        <w:tc>
          <w:tcPr>
            <w:tcW w:w="1039" w:type="dxa"/>
            <w:vAlign w:val="center"/>
          </w:tcPr>
          <w:p w14:paraId="5193BCDA" w14:textId="665E3433"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-0.1</w:t>
            </w:r>
          </w:p>
        </w:tc>
        <w:tc>
          <w:tcPr>
            <w:tcW w:w="1494" w:type="dxa"/>
            <w:vAlign w:val="center"/>
          </w:tcPr>
          <w:p w14:paraId="2BC0E5CB" w14:textId="63697303"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10</w:t>
            </w:r>
          </w:p>
        </w:tc>
        <w:tc>
          <w:tcPr>
            <w:tcW w:w="1094" w:type="dxa"/>
            <w:vAlign w:val="center"/>
          </w:tcPr>
          <w:p w14:paraId="223C541F" w14:textId="53E43C67"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2.0</w:t>
            </w:r>
          </w:p>
        </w:tc>
        <w:tc>
          <w:tcPr>
            <w:tcW w:w="1094" w:type="dxa"/>
            <w:vAlign w:val="center"/>
          </w:tcPr>
          <w:p w14:paraId="7F73E5A6" w14:textId="4AC36A5D"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2.9</w:t>
            </w:r>
          </w:p>
        </w:tc>
      </w:tr>
      <w:tr w:rsidR="00A3285A" w:rsidRPr="00A3285A" w14:paraId="5074AEDD" w14:textId="77777777" w:rsidTr="007913D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16" w:type="dxa"/>
            <w:vAlign w:val="center"/>
          </w:tcPr>
          <w:p w14:paraId="16829F56" w14:textId="77777777" w:rsidR="00A3285A" w:rsidRPr="00A3285A" w:rsidRDefault="00A3285A" w:rsidP="00B63652">
            <w:pPr>
              <w:spacing w:line="240" w:lineRule="auto"/>
              <w:jc w:val="center"/>
              <w:rPr>
                <w:rFonts w:cs="Times New Roman"/>
                <w:sz w:val="16"/>
                <w:szCs w:val="16"/>
              </w:rPr>
            </w:pPr>
            <w:r w:rsidRPr="00A3285A">
              <w:rPr>
                <w:rFonts w:cs="Times New Roman"/>
                <w:sz w:val="16"/>
                <w:szCs w:val="16"/>
              </w:rPr>
              <w:t>MAU</w:t>
            </w:r>
          </w:p>
        </w:tc>
        <w:tc>
          <w:tcPr>
            <w:tcW w:w="1530" w:type="dxa"/>
            <w:vAlign w:val="center"/>
          </w:tcPr>
          <w:p w14:paraId="2C275B4B" w14:textId="6BABFC69" w:rsidR="00A3285A"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10</w:t>
            </w:r>
          </w:p>
        </w:tc>
        <w:tc>
          <w:tcPr>
            <w:tcW w:w="1335" w:type="dxa"/>
            <w:vAlign w:val="center"/>
          </w:tcPr>
          <w:p w14:paraId="7CE616CC" w14:textId="37CEBCF7" w:rsidR="00A3285A"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1.5</w:t>
            </w:r>
          </w:p>
        </w:tc>
        <w:tc>
          <w:tcPr>
            <w:tcW w:w="1039" w:type="dxa"/>
            <w:vAlign w:val="center"/>
          </w:tcPr>
          <w:p w14:paraId="2205860C" w14:textId="1590E13A" w:rsidR="00A3285A"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0.7</w:t>
            </w:r>
          </w:p>
        </w:tc>
        <w:tc>
          <w:tcPr>
            <w:tcW w:w="1494" w:type="dxa"/>
            <w:vAlign w:val="center"/>
          </w:tcPr>
          <w:p w14:paraId="48F4509A" w14:textId="31432469" w:rsidR="00A3285A"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8</w:t>
            </w:r>
          </w:p>
        </w:tc>
        <w:tc>
          <w:tcPr>
            <w:tcW w:w="1094" w:type="dxa"/>
            <w:vAlign w:val="center"/>
          </w:tcPr>
          <w:p w14:paraId="5FC50068" w14:textId="7B29D905" w:rsidR="00A3285A"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1.5</w:t>
            </w:r>
          </w:p>
        </w:tc>
        <w:tc>
          <w:tcPr>
            <w:tcW w:w="1094" w:type="dxa"/>
            <w:vAlign w:val="center"/>
          </w:tcPr>
          <w:p w14:paraId="23AD752B" w14:textId="787D3F7E" w:rsidR="00A3285A"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1.5</w:t>
            </w:r>
          </w:p>
        </w:tc>
      </w:tr>
      <w:tr w:rsidR="00A3285A" w:rsidRPr="00A3285A" w14:paraId="62532FDC" w14:textId="77777777" w:rsidTr="007913DC">
        <w:trPr>
          <w:trHeight w:val="263"/>
        </w:trPr>
        <w:tc>
          <w:tcPr>
            <w:cnfStyle w:val="001000000000" w:firstRow="0" w:lastRow="0" w:firstColumn="1" w:lastColumn="0" w:oddVBand="0" w:evenVBand="0" w:oddHBand="0" w:evenHBand="0" w:firstRowFirstColumn="0" w:firstRowLastColumn="0" w:lastRowFirstColumn="0" w:lastRowLastColumn="0"/>
            <w:tcW w:w="1316" w:type="dxa"/>
            <w:vAlign w:val="center"/>
          </w:tcPr>
          <w:p w14:paraId="27652FA0" w14:textId="77777777" w:rsidR="00A3285A" w:rsidRPr="00A3285A" w:rsidRDefault="00A3285A" w:rsidP="00B63652">
            <w:pPr>
              <w:spacing w:line="240" w:lineRule="auto"/>
              <w:jc w:val="center"/>
              <w:rPr>
                <w:rFonts w:cs="Times New Roman"/>
                <w:sz w:val="16"/>
                <w:szCs w:val="16"/>
              </w:rPr>
            </w:pPr>
            <w:r w:rsidRPr="00A3285A">
              <w:rPr>
                <w:rFonts w:cs="Times New Roman"/>
                <w:sz w:val="16"/>
                <w:szCs w:val="16"/>
              </w:rPr>
              <w:t>POR</w:t>
            </w:r>
          </w:p>
        </w:tc>
        <w:tc>
          <w:tcPr>
            <w:tcW w:w="1530" w:type="dxa"/>
            <w:vAlign w:val="center"/>
          </w:tcPr>
          <w:p w14:paraId="6FE0D0B5" w14:textId="266B7464"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16</w:t>
            </w:r>
          </w:p>
        </w:tc>
        <w:tc>
          <w:tcPr>
            <w:tcW w:w="1335" w:type="dxa"/>
            <w:vAlign w:val="center"/>
          </w:tcPr>
          <w:p w14:paraId="1EB3A9D1" w14:textId="65518A5D"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1.2</w:t>
            </w:r>
          </w:p>
        </w:tc>
        <w:tc>
          <w:tcPr>
            <w:tcW w:w="1039" w:type="dxa"/>
            <w:vAlign w:val="center"/>
          </w:tcPr>
          <w:p w14:paraId="6D86665A" w14:textId="2432A413"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1.1</w:t>
            </w:r>
          </w:p>
        </w:tc>
        <w:tc>
          <w:tcPr>
            <w:tcW w:w="1494" w:type="dxa"/>
            <w:vAlign w:val="center"/>
          </w:tcPr>
          <w:p w14:paraId="58118A12" w14:textId="5E759B82"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12</w:t>
            </w:r>
          </w:p>
        </w:tc>
        <w:tc>
          <w:tcPr>
            <w:tcW w:w="1094" w:type="dxa"/>
            <w:vAlign w:val="center"/>
          </w:tcPr>
          <w:p w14:paraId="33EACCA6" w14:textId="43852276"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3.3</w:t>
            </w:r>
          </w:p>
        </w:tc>
        <w:tc>
          <w:tcPr>
            <w:tcW w:w="1094" w:type="dxa"/>
            <w:vAlign w:val="center"/>
          </w:tcPr>
          <w:p w14:paraId="51B9DCA9" w14:textId="2A24FF03"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3.1</w:t>
            </w:r>
          </w:p>
        </w:tc>
      </w:tr>
      <w:tr w:rsidR="00A3285A" w:rsidRPr="00A3285A" w14:paraId="364D08D8" w14:textId="77777777" w:rsidTr="007913D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16" w:type="dxa"/>
            <w:vAlign w:val="center"/>
          </w:tcPr>
          <w:p w14:paraId="2C5FFD6A" w14:textId="77777777" w:rsidR="00A3285A" w:rsidRPr="00A3285A" w:rsidRDefault="00A3285A" w:rsidP="00B63652">
            <w:pPr>
              <w:spacing w:line="240" w:lineRule="auto"/>
              <w:jc w:val="center"/>
              <w:rPr>
                <w:rFonts w:cs="Times New Roman"/>
                <w:sz w:val="16"/>
                <w:szCs w:val="16"/>
              </w:rPr>
            </w:pPr>
            <w:r w:rsidRPr="00A3285A">
              <w:rPr>
                <w:rFonts w:cs="Times New Roman"/>
                <w:sz w:val="16"/>
                <w:szCs w:val="16"/>
              </w:rPr>
              <w:t>RAI</w:t>
            </w:r>
          </w:p>
        </w:tc>
        <w:tc>
          <w:tcPr>
            <w:tcW w:w="1530" w:type="dxa"/>
            <w:vAlign w:val="center"/>
          </w:tcPr>
          <w:p w14:paraId="798993F6" w14:textId="3FC9927F" w:rsidR="00A3285A"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12</w:t>
            </w:r>
          </w:p>
        </w:tc>
        <w:tc>
          <w:tcPr>
            <w:tcW w:w="1335" w:type="dxa"/>
            <w:vAlign w:val="center"/>
          </w:tcPr>
          <w:p w14:paraId="2DFE3702" w14:textId="6BB02044" w:rsidR="00A3285A"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2.6</w:t>
            </w:r>
          </w:p>
        </w:tc>
        <w:tc>
          <w:tcPr>
            <w:tcW w:w="1039" w:type="dxa"/>
            <w:vAlign w:val="center"/>
          </w:tcPr>
          <w:p w14:paraId="0C911E46" w14:textId="57D62F57" w:rsidR="00A3285A"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0.4</w:t>
            </w:r>
          </w:p>
        </w:tc>
        <w:tc>
          <w:tcPr>
            <w:tcW w:w="1494" w:type="dxa"/>
            <w:vAlign w:val="center"/>
          </w:tcPr>
          <w:p w14:paraId="36430F0A" w14:textId="49A177F7" w:rsidR="00A3285A"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9</w:t>
            </w:r>
          </w:p>
        </w:tc>
        <w:tc>
          <w:tcPr>
            <w:tcW w:w="1094" w:type="dxa"/>
            <w:vAlign w:val="center"/>
          </w:tcPr>
          <w:p w14:paraId="45A4C188" w14:textId="0EBF249B" w:rsidR="00A3285A"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2.8</w:t>
            </w:r>
          </w:p>
        </w:tc>
        <w:tc>
          <w:tcPr>
            <w:tcW w:w="1094" w:type="dxa"/>
            <w:vAlign w:val="center"/>
          </w:tcPr>
          <w:p w14:paraId="5CA16282" w14:textId="5904D997" w:rsidR="00A3285A"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-0.2</w:t>
            </w:r>
          </w:p>
        </w:tc>
      </w:tr>
      <w:tr w:rsidR="00A3285A" w:rsidRPr="00A3285A" w14:paraId="66E14091" w14:textId="77777777" w:rsidTr="007913DC">
        <w:trPr>
          <w:trHeight w:val="263"/>
        </w:trPr>
        <w:tc>
          <w:tcPr>
            <w:cnfStyle w:val="001000000000" w:firstRow="0" w:lastRow="0" w:firstColumn="1" w:lastColumn="0" w:oddVBand="0" w:evenVBand="0" w:oddHBand="0" w:evenHBand="0" w:firstRowFirstColumn="0" w:firstRowLastColumn="0" w:lastRowFirstColumn="0" w:lastRowLastColumn="0"/>
            <w:tcW w:w="1316" w:type="dxa"/>
            <w:vAlign w:val="center"/>
          </w:tcPr>
          <w:p w14:paraId="4459045C" w14:textId="77777777" w:rsidR="00A3285A" w:rsidRPr="00A3285A" w:rsidRDefault="00A3285A" w:rsidP="00B63652">
            <w:pPr>
              <w:spacing w:line="240" w:lineRule="auto"/>
              <w:jc w:val="center"/>
              <w:rPr>
                <w:rFonts w:cs="Times New Roman"/>
                <w:sz w:val="16"/>
                <w:szCs w:val="16"/>
              </w:rPr>
            </w:pPr>
            <w:r w:rsidRPr="00A3285A">
              <w:rPr>
                <w:rFonts w:cs="Times New Roman"/>
                <w:sz w:val="16"/>
                <w:szCs w:val="16"/>
              </w:rPr>
              <w:t>SAN</w:t>
            </w:r>
          </w:p>
        </w:tc>
        <w:tc>
          <w:tcPr>
            <w:tcW w:w="1530" w:type="dxa"/>
            <w:vAlign w:val="center"/>
          </w:tcPr>
          <w:p w14:paraId="2609189D" w14:textId="59CAAF7D"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12</w:t>
            </w:r>
          </w:p>
        </w:tc>
        <w:tc>
          <w:tcPr>
            <w:tcW w:w="1335" w:type="dxa"/>
            <w:vAlign w:val="center"/>
          </w:tcPr>
          <w:p w14:paraId="4601F4AF" w14:textId="73886B6C"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2.4</w:t>
            </w:r>
          </w:p>
        </w:tc>
        <w:tc>
          <w:tcPr>
            <w:tcW w:w="1039" w:type="dxa"/>
            <w:vAlign w:val="center"/>
          </w:tcPr>
          <w:p w14:paraId="5414B983" w14:textId="077FC1E5"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2.8</w:t>
            </w:r>
          </w:p>
        </w:tc>
        <w:tc>
          <w:tcPr>
            <w:tcW w:w="1494" w:type="dxa"/>
            <w:vAlign w:val="center"/>
          </w:tcPr>
          <w:p w14:paraId="3A1DAB8F" w14:textId="306A6DD1"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8</w:t>
            </w:r>
          </w:p>
        </w:tc>
        <w:tc>
          <w:tcPr>
            <w:tcW w:w="1094" w:type="dxa"/>
            <w:vAlign w:val="center"/>
          </w:tcPr>
          <w:p w14:paraId="1F4B660B" w14:textId="1A6C79E0"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4.4</w:t>
            </w:r>
          </w:p>
        </w:tc>
        <w:tc>
          <w:tcPr>
            <w:tcW w:w="1094" w:type="dxa"/>
            <w:vAlign w:val="center"/>
          </w:tcPr>
          <w:p w14:paraId="2A966659" w14:textId="75072CB1"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6.6</w:t>
            </w:r>
          </w:p>
        </w:tc>
      </w:tr>
      <w:tr w:rsidR="00A3285A" w:rsidRPr="00A3285A" w14:paraId="2B10C604" w14:textId="77777777" w:rsidTr="007913D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16" w:type="dxa"/>
            <w:tcBorders>
              <w:bottom w:val="single" w:sz="4" w:space="0" w:color="auto"/>
            </w:tcBorders>
            <w:vAlign w:val="center"/>
          </w:tcPr>
          <w:p w14:paraId="6A76EB84" w14:textId="77777777" w:rsidR="00A3285A" w:rsidRPr="00A3285A" w:rsidRDefault="00A3285A" w:rsidP="00B63652">
            <w:pPr>
              <w:spacing w:line="240" w:lineRule="auto"/>
              <w:jc w:val="center"/>
              <w:rPr>
                <w:rFonts w:cs="Times New Roman"/>
                <w:sz w:val="16"/>
                <w:szCs w:val="16"/>
              </w:rPr>
            </w:pPr>
            <w:r w:rsidRPr="00A3285A">
              <w:rPr>
                <w:rFonts w:cs="Times New Roman"/>
                <w:sz w:val="16"/>
                <w:szCs w:val="16"/>
              </w:rPr>
              <w:t>TIF</w:t>
            </w:r>
          </w:p>
        </w:tc>
        <w:tc>
          <w:tcPr>
            <w:tcW w:w="1530" w:type="dxa"/>
            <w:tcBorders>
              <w:bottom w:val="single" w:sz="4" w:space="0" w:color="auto"/>
            </w:tcBorders>
            <w:vAlign w:val="center"/>
          </w:tcPr>
          <w:p w14:paraId="6F3615EB" w14:textId="5E4B80B8" w:rsidR="00A3285A"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13</w:t>
            </w:r>
          </w:p>
        </w:tc>
        <w:tc>
          <w:tcPr>
            <w:tcW w:w="1335" w:type="dxa"/>
            <w:tcBorders>
              <w:bottom w:val="single" w:sz="4" w:space="0" w:color="auto"/>
            </w:tcBorders>
            <w:vAlign w:val="center"/>
          </w:tcPr>
          <w:p w14:paraId="08F3D8F4" w14:textId="2A5F0621" w:rsidR="00A3285A"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0.3</w:t>
            </w:r>
          </w:p>
        </w:tc>
        <w:tc>
          <w:tcPr>
            <w:tcW w:w="1039" w:type="dxa"/>
            <w:tcBorders>
              <w:bottom w:val="single" w:sz="4" w:space="0" w:color="auto"/>
            </w:tcBorders>
            <w:vAlign w:val="center"/>
          </w:tcPr>
          <w:p w14:paraId="0DD6B06E" w14:textId="799B7986" w:rsidR="00A3285A"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-2.8</w:t>
            </w:r>
          </w:p>
        </w:tc>
        <w:tc>
          <w:tcPr>
            <w:tcW w:w="1494" w:type="dxa"/>
            <w:tcBorders>
              <w:bottom w:val="single" w:sz="4" w:space="0" w:color="auto"/>
            </w:tcBorders>
            <w:vAlign w:val="center"/>
          </w:tcPr>
          <w:p w14:paraId="003B30C0" w14:textId="103AEB0A" w:rsidR="00A3285A"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10</w:t>
            </w:r>
          </w:p>
        </w:tc>
        <w:tc>
          <w:tcPr>
            <w:tcW w:w="1094" w:type="dxa"/>
            <w:tcBorders>
              <w:bottom w:val="single" w:sz="4" w:space="0" w:color="auto"/>
            </w:tcBorders>
            <w:vAlign w:val="center"/>
          </w:tcPr>
          <w:p w14:paraId="79C9DF7B" w14:textId="56B7350B" w:rsidR="00A3285A"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1.2</w:t>
            </w:r>
          </w:p>
        </w:tc>
        <w:tc>
          <w:tcPr>
            <w:tcW w:w="1094" w:type="dxa"/>
            <w:tcBorders>
              <w:bottom w:val="single" w:sz="4" w:space="0" w:color="auto"/>
            </w:tcBorders>
            <w:vAlign w:val="center"/>
          </w:tcPr>
          <w:p w14:paraId="508F788E" w14:textId="7A1679F8" w:rsidR="00A3285A" w:rsidRPr="00A3285A" w:rsidRDefault="00A3285A" w:rsidP="00B63652">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A3285A">
              <w:rPr>
                <w:rFonts w:cs="Times New Roman"/>
                <w:color w:val="000000"/>
                <w:sz w:val="16"/>
                <w:szCs w:val="16"/>
              </w:rPr>
              <w:t>-1.4</w:t>
            </w:r>
          </w:p>
        </w:tc>
      </w:tr>
      <w:tr w:rsidR="00A3285A" w:rsidRPr="00A3285A" w14:paraId="236BFBF2" w14:textId="77777777" w:rsidTr="007913DC">
        <w:trPr>
          <w:trHeight w:val="263"/>
        </w:trPr>
        <w:tc>
          <w:tcPr>
            <w:cnfStyle w:val="001000000000" w:firstRow="0" w:lastRow="0" w:firstColumn="1" w:lastColumn="0" w:oddVBand="0" w:evenVBand="0" w:oddHBand="0" w:evenHBand="0" w:firstRowFirstColumn="0" w:firstRowLastColumn="0" w:lastRowFirstColumn="0" w:lastRowLastColumn="0"/>
            <w:tcW w:w="1316" w:type="dxa"/>
            <w:tcBorders>
              <w:top w:val="single" w:sz="4" w:space="0" w:color="auto"/>
              <w:bottom w:val="single" w:sz="4" w:space="0" w:color="7F7F7F" w:themeColor="text1" w:themeTint="80"/>
            </w:tcBorders>
            <w:vAlign w:val="center"/>
          </w:tcPr>
          <w:p w14:paraId="3D89468B" w14:textId="77777777" w:rsidR="00A3285A" w:rsidRPr="00A3285A" w:rsidRDefault="00A3285A" w:rsidP="00B63652">
            <w:pPr>
              <w:spacing w:line="240" w:lineRule="auto"/>
              <w:jc w:val="center"/>
              <w:rPr>
                <w:rFonts w:cs="Times New Roman"/>
                <w:sz w:val="16"/>
                <w:szCs w:val="16"/>
              </w:rPr>
            </w:pPr>
            <w:r w:rsidRPr="00A3285A">
              <w:rPr>
                <w:rFonts w:cs="Times New Roman"/>
                <w:sz w:val="16"/>
                <w:szCs w:val="16"/>
              </w:rPr>
              <w:t>Average</w:t>
            </w:r>
          </w:p>
        </w:tc>
        <w:tc>
          <w:tcPr>
            <w:tcW w:w="1530" w:type="dxa"/>
            <w:tcBorders>
              <w:top w:val="single" w:sz="4" w:space="0" w:color="auto"/>
              <w:bottom w:val="single" w:sz="4" w:space="0" w:color="7F7F7F" w:themeColor="text1" w:themeTint="80"/>
            </w:tcBorders>
            <w:vAlign w:val="center"/>
          </w:tcPr>
          <w:p w14:paraId="56641A16" w14:textId="1020FF0E" w:rsidR="00A3285A" w:rsidRPr="00A3285A" w:rsidRDefault="00B63652"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13</w:t>
            </w:r>
          </w:p>
        </w:tc>
        <w:tc>
          <w:tcPr>
            <w:tcW w:w="1335" w:type="dxa"/>
            <w:tcBorders>
              <w:top w:val="single" w:sz="4" w:space="0" w:color="auto"/>
              <w:bottom w:val="single" w:sz="4" w:space="0" w:color="7F7F7F" w:themeColor="text1" w:themeTint="80"/>
            </w:tcBorders>
            <w:vAlign w:val="center"/>
          </w:tcPr>
          <w:p w14:paraId="5949A4CB" w14:textId="7B718FDF"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sz w:val="16"/>
                <w:szCs w:val="16"/>
              </w:rPr>
              <w:t>1.6</w:t>
            </w:r>
          </w:p>
        </w:tc>
        <w:tc>
          <w:tcPr>
            <w:tcW w:w="1039" w:type="dxa"/>
            <w:tcBorders>
              <w:top w:val="single" w:sz="4" w:space="0" w:color="auto"/>
              <w:bottom w:val="single" w:sz="4" w:space="0" w:color="7F7F7F" w:themeColor="text1" w:themeTint="80"/>
            </w:tcBorders>
            <w:vAlign w:val="center"/>
          </w:tcPr>
          <w:p w14:paraId="7943E1AD" w14:textId="5AAE09D8"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color w:val="000000"/>
                <w:sz w:val="16"/>
                <w:szCs w:val="16"/>
              </w:rPr>
              <w:t>0.7</w:t>
            </w:r>
          </w:p>
        </w:tc>
        <w:tc>
          <w:tcPr>
            <w:tcW w:w="1494" w:type="dxa"/>
            <w:tcBorders>
              <w:top w:val="single" w:sz="4" w:space="0" w:color="auto"/>
              <w:bottom w:val="single" w:sz="4" w:space="0" w:color="7F7F7F" w:themeColor="text1" w:themeTint="80"/>
            </w:tcBorders>
            <w:vAlign w:val="center"/>
          </w:tcPr>
          <w:p w14:paraId="3C359333" w14:textId="5CE564EC" w:rsidR="00A3285A" w:rsidRPr="00A3285A" w:rsidRDefault="00B63652"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9</w:t>
            </w:r>
          </w:p>
        </w:tc>
        <w:tc>
          <w:tcPr>
            <w:tcW w:w="1094" w:type="dxa"/>
            <w:tcBorders>
              <w:top w:val="single" w:sz="4" w:space="0" w:color="auto"/>
              <w:bottom w:val="single" w:sz="4" w:space="0" w:color="7F7F7F" w:themeColor="text1" w:themeTint="80"/>
            </w:tcBorders>
            <w:vAlign w:val="center"/>
          </w:tcPr>
          <w:p w14:paraId="6E5CCDFC" w14:textId="096660AB"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sz w:val="16"/>
                <w:szCs w:val="16"/>
              </w:rPr>
              <w:t>2.6</w:t>
            </w:r>
          </w:p>
        </w:tc>
        <w:tc>
          <w:tcPr>
            <w:tcW w:w="1094" w:type="dxa"/>
            <w:tcBorders>
              <w:top w:val="single" w:sz="4" w:space="0" w:color="auto"/>
              <w:bottom w:val="single" w:sz="4" w:space="0" w:color="7F7F7F" w:themeColor="text1" w:themeTint="80"/>
            </w:tcBorders>
            <w:vAlign w:val="center"/>
          </w:tcPr>
          <w:p w14:paraId="7957412B" w14:textId="7E0A80C6" w:rsidR="00A3285A" w:rsidRPr="00A3285A" w:rsidRDefault="00A3285A" w:rsidP="00B63652">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A3285A">
              <w:rPr>
                <w:rFonts w:cs="Times New Roman"/>
                <w:sz w:val="16"/>
                <w:szCs w:val="16"/>
              </w:rPr>
              <w:t>2.3</w:t>
            </w:r>
          </w:p>
        </w:tc>
      </w:tr>
    </w:tbl>
    <w:p w14:paraId="3204B010" w14:textId="77777777" w:rsidR="00037B5E" w:rsidRPr="00037B5E" w:rsidRDefault="00037B5E" w:rsidP="00037B5E"/>
    <w:p w14:paraId="6E964FBE" w14:textId="57D74876" w:rsidR="00D9268F" w:rsidRDefault="00552A1A" w:rsidP="00552A1A">
      <w:pPr>
        <w:pStyle w:val="Heading3"/>
      </w:pPr>
      <w:r>
        <w:t>W</w:t>
      </w:r>
      <w:r w:rsidR="00D9268F">
        <w:t>inter</w:t>
      </w:r>
      <w:r>
        <w:t xml:space="preserve"> (Dec-Feb)</w:t>
      </w:r>
      <w:r w:rsidR="00D9268F">
        <w:t xml:space="preserve"> P dynamics in WLEB streams and rivers</w:t>
      </w:r>
    </w:p>
    <w:p w14:paraId="183B90D5" w14:textId="77777777" w:rsidR="00BF4989" w:rsidRDefault="007913DC" w:rsidP="00E24710">
      <w:pPr>
        <w:ind w:firstLine="720"/>
      </w:pPr>
      <w:r>
        <w:t xml:space="preserve">The P fluxes released during the winter season ranged from 29 to 36% of the annual SRP FN flux and 29 to 33% of the annual TP flux (Table 5). These values make the winter the season with the second largest amount of P delivery to downstream waterbodies. From 2008-2022, winter SRP fluxes were downward at four sites, ranging from the small Honey Creek watershed to the larger Maumee watershed, and upward at Blanchard, Sandusky, and Raisin. Relative to the </w:t>
      </w:r>
      <w:r>
        <w:lastRenderedPageBreak/>
        <w:t xml:space="preserve">whole period, winter SRP FN flux trends in recent years (from 2015-2022) </w:t>
      </w:r>
      <w:r w:rsidR="00BF4989">
        <w:t xml:space="preserve">were either weaker </w:t>
      </w:r>
      <w:r>
        <w:t>upward,</w:t>
      </w:r>
      <w:r w:rsidR="00BF4989">
        <w:t xml:space="preserve"> transitions to</w:t>
      </w:r>
      <w:r>
        <w:t xml:space="preserve"> downward, or st</w:t>
      </w:r>
      <w:r w:rsidR="00BF4989">
        <w:t>ronger downward</w:t>
      </w:r>
      <w:r>
        <w:t xml:space="preserve"> trend</w:t>
      </w:r>
      <w:r w:rsidR="00BF4989">
        <w:t>s</w:t>
      </w:r>
      <w:r>
        <w:t xml:space="preserve"> at</w:t>
      </w:r>
      <w:r w:rsidR="00BF4989">
        <w:t xml:space="preserve"> each</w:t>
      </w:r>
      <w:r>
        <w:t xml:space="preserve"> </w:t>
      </w:r>
      <w:r w:rsidR="00BF4989">
        <w:t xml:space="preserve">site. </w:t>
      </w:r>
    </w:p>
    <w:p w14:paraId="64310C23" w14:textId="561075AA" w:rsidR="007913DC" w:rsidRPr="00A3285A" w:rsidRDefault="00BF4989" w:rsidP="00E24710">
      <w:pPr>
        <w:ind w:firstLine="720"/>
      </w:pPr>
      <w:r>
        <w:t xml:space="preserve">Unlike SRP trends, winter FN flux trends for TP were upward at all sites over the whole period (2008-2022) (Table 5). Although winter FN flux trends were upward across the whole period, only </w:t>
      </w:r>
      <w:r w:rsidR="007913DC">
        <w:t>three of the sites showed increasing upward trends, one site saw no difference in its upward trend, and three sites showed weakening upward trends</w:t>
      </w:r>
      <w:r w:rsidR="00E24710">
        <w:t xml:space="preserve"> in recent years</w:t>
      </w:r>
      <w:r w:rsidR="007913DC">
        <w:t>.</w:t>
      </w:r>
      <w:r w:rsidR="00E24710">
        <w:t xml:space="preserve"> While three sites with weakening upward trends shows some improvement in TP losses across the basin, the three sites with stronger upward trends included the two largest watersheds in the basin, </w:t>
      </w:r>
      <w:proofErr w:type="gramStart"/>
      <w:r w:rsidR="00E24710">
        <w:t>Maumee</w:t>
      </w:r>
      <w:proofErr w:type="gramEnd"/>
      <w:r w:rsidR="00E24710">
        <w:t xml:space="preserve"> and Sandusky. Overall, the winter FN trends for SRP and TP matched those of the fall season with the widespread weakening of upward trends, transitions to downward trends, and strengthening downward trends indicate that current management practices may be reducing SRP losses during the winter seasons, while the strengthening upward trends in winter TP fluxes in large watersheds</w:t>
      </w:r>
      <w:r w:rsidR="007913DC">
        <w:t xml:space="preserve"> </w:t>
      </w:r>
      <w:r w:rsidR="00E24710">
        <w:t xml:space="preserve">suggest that </w:t>
      </w:r>
      <w:r>
        <w:t>winter</w:t>
      </w:r>
      <w:r w:rsidR="007913DC">
        <w:t xml:space="preserve"> TP losses have been increasing in the basin.</w:t>
      </w:r>
    </w:p>
    <w:p w14:paraId="7903C2FC" w14:textId="507ECFBA" w:rsidR="00A3285A" w:rsidRDefault="00A3285A" w:rsidP="00A3285A"/>
    <w:p w14:paraId="2BF3F720" w14:textId="495C5753" w:rsidR="00E24710" w:rsidRDefault="00E24710" w:rsidP="00A3285A"/>
    <w:p w14:paraId="768ED6AD" w14:textId="77777777" w:rsidR="00E24710" w:rsidRPr="00A3285A" w:rsidRDefault="00E24710" w:rsidP="00A3285A"/>
    <w:p w14:paraId="2037A5D0" w14:textId="642E1BB7" w:rsidR="00A3285A" w:rsidRPr="00A3285A" w:rsidRDefault="00B63652" w:rsidP="00A3285A">
      <w:pPr>
        <w:pStyle w:val="Caption"/>
      </w:pPr>
      <w:r>
        <w:t>Table 5: Overview of SRP and TP FN fluxes during the winter season. The winter season lasted from 1 Dec through 28/29 Feb. FN flux trends are reported as the rate of percent change (%) over the period of interest. The percentage of annual FN Flux is the mean percentage of the FN flux released during the winter season from 2008-2022.</w:t>
      </w:r>
    </w:p>
    <w:tbl>
      <w:tblPr>
        <w:tblStyle w:val="PlainTable2"/>
        <w:tblW w:w="0" w:type="auto"/>
        <w:jc w:val="center"/>
        <w:tblLook w:val="04A0" w:firstRow="1" w:lastRow="0" w:firstColumn="1" w:lastColumn="0" w:noHBand="0" w:noVBand="1"/>
      </w:tblPr>
      <w:tblGrid>
        <w:gridCol w:w="1197"/>
        <w:gridCol w:w="1390"/>
        <w:gridCol w:w="1215"/>
        <w:gridCol w:w="968"/>
        <w:gridCol w:w="1339"/>
        <w:gridCol w:w="993"/>
        <w:gridCol w:w="997"/>
      </w:tblGrid>
      <w:tr w:rsidR="00037B5E" w:rsidRPr="00037B5E" w14:paraId="1CF4A1A3" w14:textId="2564EECB" w:rsidTr="00C43D60">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97" w:type="dxa"/>
            <w:vMerge w:val="restart"/>
            <w:vAlign w:val="center"/>
          </w:tcPr>
          <w:p w14:paraId="41C29193" w14:textId="2598B1E6" w:rsidR="00037B5E" w:rsidRPr="00037B5E" w:rsidRDefault="00037B5E" w:rsidP="00C43D60">
            <w:pPr>
              <w:spacing w:line="240" w:lineRule="auto"/>
              <w:jc w:val="center"/>
              <w:rPr>
                <w:rFonts w:cs="Times New Roman"/>
                <w:sz w:val="16"/>
                <w:szCs w:val="16"/>
              </w:rPr>
            </w:pPr>
            <w:r w:rsidRPr="00037B5E">
              <w:rPr>
                <w:rFonts w:cs="Times New Roman"/>
                <w:sz w:val="16"/>
                <w:szCs w:val="16"/>
              </w:rPr>
              <w:t>Sites</w:t>
            </w:r>
          </w:p>
        </w:tc>
        <w:tc>
          <w:tcPr>
            <w:tcW w:w="3573" w:type="dxa"/>
            <w:gridSpan w:val="3"/>
            <w:vAlign w:val="center"/>
          </w:tcPr>
          <w:p w14:paraId="47E36104" w14:textId="55663760" w:rsidR="00037B5E" w:rsidRPr="00037B5E" w:rsidRDefault="00037B5E"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SRP</w:t>
            </w:r>
          </w:p>
        </w:tc>
        <w:tc>
          <w:tcPr>
            <w:tcW w:w="3329" w:type="dxa"/>
            <w:gridSpan w:val="3"/>
            <w:vAlign w:val="center"/>
          </w:tcPr>
          <w:p w14:paraId="2C29B0CC" w14:textId="7134AB6E" w:rsidR="00037B5E" w:rsidRPr="00037B5E" w:rsidRDefault="00037B5E"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TP</w:t>
            </w:r>
          </w:p>
        </w:tc>
      </w:tr>
      <w:tr w:rsidR="00037B5E" w:rsidRPr="00037B5E" w14:paraId="008C2173" w14:textId="173FF856" w:rsidTr="00C43D60">
        <w:trPr>
          <w:cnfStyle w:val="000000100000" w:firstRow="0" w:lastRow="0" w:firstColumn="0" w:lastColumn="0" w:oddVBand="0" w:evenVBand="0" w:oddHBand="1" w:evenHBand="0"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1197" w:type="dxa"/>
            <w:vMerge/>
            <w:vAlign w:val="center"/>
          </w:tcPr>
          <w:p w14:paraId="12044693" w14:textId="1FA7C433" w:rsidR="00037B5E" w:rsidRPr="00037B5E" w:rsidRDefault="00037B5E" w:rsidP="00C43D60">
            <w:pPr>
              <w:spacing w:line="240" w:lineRule="auto"/>
              <w:jc w:val="center"/>
              <w:rPr>
                <w:rFonts w:cs="Times New Roman"/>
                <w:sz w:val="16"/>
                <w:szCs w:val="16"/>
              </w:rPr>
            </w:pPr>
          </w:p>
        </w:tc>
        <w:tc>
          <w:tcPr>
            <w:tcW w:w="1390" w:type="dxa"/>
            <w:vMerge w:val="restart"/>
            <w:vAlign w:val="center"/>
          </w:tcPr>
          <w:p w14:paraId="49142FFF" w14:textId="38F57E7C"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Percentage of annual FN trend</w:t>
            </w:r>
          </w:p>
        </w:tc>
        <w:tc>
          <w:tcPr>
            <w:tcW w:w="2183" w:type="dxa"/>
            <w:gridSpan w:val="2"/>
            <w:vAlign w:val="center"/>
          </w:tcPr>
          <w:p w14:paraId="69D70E25" w14:textId="7CDE7E0A"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FN flux trends</w:t>
            </w:r>
          </w:p>
        </w:tc>
        <w:tc>
          <w:tcPr>
            <w:tcW w:w="1339" w:type="dxa"/>
            <w:vMerge w:val="restart"/>
            <w:vAlign w:val="center"/>
          </w:tcPr>
          <w:p w14:paraId="7A469341" w14:textId="30A246A5"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Percentage of annual FN trend</w:t>
            </w:r>
          </w:p>
        </w:tc>
        <w:tc>
          <w:tcPr>
            <w:tcW w:w="1990" w:type="dxa"/>
            <w:gridSpan w:val="2"/>
            <w:vAlign w:val="center"/>
          </w:tcPr>
          <w:p w14:paraId="0C26A907" w14:textId="2584EEA1"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FN flux trends</w:t>
            </w:r>
          </w:p>
        </w:tc>
      </w:tr>
      <w:tr w:rsidR="00037B5E" w:rsidRPr="00037B5E" w14:paraId="238D7BAA" w14:textId="726E95C8" w:rsidTr="00C43D60">
        <w:trPr>
          <w:trHeight w:val="318"/>
          <w:jc w:val="center"/>
        </w:trPr>
        <w:tc>
          <w:tcPr>
            <w:cnfStyle w:val="001000000000" w:firstRow="0" w:lastRow="0" w:firstColumn="1" w:lastColumn="0" w:oddVBand="0" w:evenVBand="0" w:oddHBand="0" w:evenHBand="0" w:firstRowFirstColumn="0" w:firstRowLastColumn="0" w:lastRowFirstColumn="0" w:lastRowLastColumn="0"/>
            <w:tcW w:w="1197" w:type="dxa"/>
            <w:vMerge/>
            <w:vAlign w:val="center"/>
          </w:tcPr>
          <w:p w14:paraId="1AEBDD92" w14:textId="34DA0572" w:rsidR="00037B5E" w:rsidRPr="00037B5E" w:rsidRDefault="00037B5E" w:rsidP="00C43D60">
            <w:pPr>
              <w:spacing w:line="240" w:lineRule="auto"/>
              <w:jc w:val="center"/>
              <w:rPr>
                <w:rFonts w:cs="Times New Roman"/>
                <w:sz w:val="16"/>
                <w:szCs w:val="16"/>
              </w:rPr>
            </w:pPr>
          </w:p>
        </w:tc>
        <w:tc>
          <w:tcPr>
            <w:tcW w:w="1390" w:type="dxa"/>
            <w:vMerge/>
            <w:vAlign w:val="center"/>
          </w:tcPr>
          <w:p w14:paraId="659FE4A2" w14:textId="77777777"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15" w:type="dxa"/>
            <w:vAlign w:val="center"/>
          </w:tcPr>
          <w:p w14:paraId="421301D7" w14:textId="3B871749"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2008-2022</w:t>
            </w:r>
          </w:p>
        </w:tc>
        <w:tc>
          <w:tcPr>
            <w:tcW w:w="968" w:type="dxa"/>
            <w:vAlign w:val="center"/>
          </w:tcPr>
          <w:p w14:paraId="6E3A7550" w14:textId="0E736A7A"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2015-2022</w:t>
            </w:r>
          </w:p>
        </w:tc>
        <w:tc>
          <w:tcPr>
            <w:tcW w:w="1339" w:type="dxa"/>
            <w:vMerge/>
            <w:vAlign w:val="center"/>
          </w:tcPr>
          <w:p w14:paraId="53B36098" w14:textId="77777777"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993" w:type="dxa"/>
            <w:vAlign w:val="center"/>
          </w:tcPr>
          <w:p w14:paraId="48CD7BD8" w14:textId="24942719"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2008-2022</w:t>
            </w:r>
          </w:p>
        </w:tc>
        <w:tc>
          <w:tcPr>
            <w:tcW w:w="997" w:type="dxa"/>
            <w:vAlign w:val="center"/>
          </w:tcPr>
          <w:p w14:paraId="17750AE0" w14:textId="62ACBBAD"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2015-2022</w:t>
            </w:r>
          </w:p>
        </w:tc>
      </w:tr>
      <w:tr w:rsidR="00037B5E" w:rsidRPr="00037B5E" w14:paraId="0075C798" w14:textId="42A65E3C" w:rsidTr="00C43D6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97" w:type="dxa"/>
            <w:vAlign w:val="center"/>
          </w:tcPr>
          <w:p w14:paraId="05CDF770" w14:textId="1840B0AD" w:rsidR="00037B5E" w:rsidRPr="00037B5E" w:rsidRDefault="00037B5E" w:rsidP="00C43D60">
            <w:pPr>
              <w:spacing w:line="240" w:lineRule="auto"/>
              <w:jc w:val="center"/>
              <w:rPr>
                <w:rFonts w:cs="Times New Roman"/>
                <w:sz w:val="16"/>
                <w:szCs w:val="16"/>
              </w:rPr>
            </w:pPr>
            <w:r w:rsidRPr="00037B5E">
              <w:rPr>
                <w:rFonts w:cs="Times New Roman"/>
                <w:sz w:val="16"/>
                <w:szCs w:val="16"/>
              </w:rPr>
              <w:t>BLA</w:t>
            </w:r>
          </w:p>
        </w:tc>
        <w:tc>
          <w:tcPr>
            <w:tcW w:w="1390" w:type="dxa"/>
            <w:vAlign w:val="center"/>
          </w:tcPr>
          <w:p w14:paraId="499A2C86" w14:textId="34032587"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037B5E">
              <w:rPr>
                <w:rFonts w:cs="Times New Roman"/>
                <w:color w:val="000000"/>
                <w:sz w:val="16"/>
                <w:szCs w:val="16"/>
              </w:rPr>
              <w:t>32</w:t>
            </w:r>
          </w:p>
        </w:tc>
        <w:tc>
          <w:tcPr>
            <w:tcW w:w="1215" w:type="dxa"/>
            <w:vAlign w:val="center"/>
          </w:tcPr>
          <w:p w14:paraId="3AAAEA4B" w14:textId="22383E1D"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2</w:t>
            </w:r>
            <w:r>
              <w:rPr>
                <w:rFonts w:cs="Times New Roman"/>
                <w:color w:val="000000"/>
                <w:sz w:val="16"/>
                <w:szCs w:val="16"/>
              </w:rPr>
              <w:t>.0</w:t>
            </w:r>
          </w:p>
        </w:tc>
        <w:tc>
          <w:tcPr>
            <w:tcW w:w="968" w:type="dxa"/>
            <w:vAlign w:val="center"/>
          </w:tcPr>
          <w:p w14:paraId="49EB2260" w14:textId="613D1FA1"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1.7</w:t>
            </w:r>
          </w:p>
        </w:tc>
        <w:tc>
          <w:tcPr>
            <w:tcW w:w="1339" w:type="dxa"/>
            <w:vAlign w:val="center"/>
          </w:tcPr>
          <w:p w14:paraId="5C92A2A0" w14:textId="648B30A4"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32</w:t>
            </w:r>
          </w:p>
        </w:tc>
        <w:tc>
          <w:tcPr>
            <w:tcW w:w="993" w:type="dxa"/>
            <w:vAlign w:val="center"/>
          </w:tcPr>
          <w:p w14:paraId="317AF5C4" w14:textId="4A496548"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1.5</w:t>
            </w:r>
          </w:p>
        </w:tc>
        <w:tc>
          <w:tcPr>
            <w:tcW w:w="997" w:type="dxa"/>
            <w:vAlign w:val="center"/>
          </w:tcPr>
          <w:p w14:paraId="037A0C1A" w14:textId="7CBF5D29"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2.1</w:t>
            </w:r>
          </w:p>
        </w:tc>
      </w:tr>
      <w:tr w:rsidR="00A3285A" w:rsidRPr="00037B5E" w14:paraId="70515936" w14:textId="6397FF11" w:rsidTr="00C43D60">
        <w:trPr>
          <w:trHeight w:val="308"/>
          <w:jc w:val="center"/>
        </w:trPr>
        <w:tc>
          <w:tcPr>
            <w:cnfStyle w:val="001000000000" w:firstRow="0" w:lastRow="0" w:firstColumn="1" w:lastColumn="0" w:oddVBand="0" w:evenVBand="0" w:oddHBand="0" w:evenHBand="0" w:firstRowFirstColumn="0" w:firstRowLastColumn="0" w:lastRowFirstColumn="0" w:lastRowLastColumn="0"/>
            <w:tcW w:w="1197" w:type="dxa"/>
            <w:vAlign w:val="center"/>
          </w:tcPr>
          <w:p w14:paraId="4176C22C" w14:textId="04C6890F" w:rsidR="00037B5E" w:rsidRPr="00037B5E" w:rsidRDefault="00037B5E" w:rsidP="00C43D60">
            <w:pPr>
              <w:spacing w:line="240" w:lineRule="auto"/>
              <w:jc w:val="center"/>
              <w:rPr>
                <w:rFonts w:cs="Times New Roman"/>
                <w:sz w:val="16"/>
                <w:szCs w:val="16"/>
              </w:rPr>
            </w:pPr>
            <w:r w:rsidRPr="00037B5E">
              <w:rPr>
                <w:rFonts w:cs="Times New Roman"/>
                <w:sz w:val="16"/>
                <w:szCs w:val="16"/>
              </w:rPr>
              <w:t>HON</w:t>
            </w:r>
          </w:p>
        </w:tc>
        <w:tc>
          <w:tcPr>
            <w:tcW w:w="1390" w:type="dxa"/>
            <w:vAlign w:val="center"/>
          </w:tcPr>
          <w:p w14:paraId="0403F56B" w14:textId="23B1B83D"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34</w:t>
            </w:r>
          </w:p>
        </w:tc>
        <w:tc>
          <w:tcPr>
            <w:tcW w:w="1215" w:type="dxa"/>
            <w:vAlign w:val="center"/>
          </w:tcPr>
          <w:p w14:paraId="26EACA3D" w14:textId="00F3602C"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-0.2</w:t>
            </w:r>
          </w:p>
        </w:tc>
        <w:tc>
          <w:tcPr>
            <w:tcW w:w="968" w:type="dxa"/>
            <w:vAlign w:val="center"/>
          </w:tcPr>
          <w:p w14:paraId="185D3AC3" w14:textId="13BD350E"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-0.8</w:t>
            </w:r>
          </w:p>
        </w:tc>
        <w:tc>
          <w:tcPr>
            <w:tcW w:w="1339" w:type="dxa"/>
            <w:vAlign w:val="center"/>
          </w:tcPr>
          <w:p w14:paraId="4BA411F2" w14:textId="6C97C600"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33</w:t>
            </w:r>
          </w:p>
        </w:tc>
        <w:tc>
          <w:tcPr>
            <w:tcW w:w="993" w:type="dxa"/>
            <w:vAlign w:val="center"/>
          </w:tcPr>
          <w:p w14:paraId="3C4F8396" w14:textId="5465DE36"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0.8</w:t>
            </w:r>
          </w:p>
        </w:tc>
        <w:tc>
          <w:tcPr>
            <w:tcW w:w="997" w:type="dxa"/>
            <w:vAlign w:val="center"/>
          </w:tcPr>
          <w:p w14:paraId="592113BA" w14:textId="630AA23E"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0.1</w:t>
            </w:r>
          </w:p>
        </w:tc>
      </w:tr>
      <w:tr w:rsidR="00A3285A" w:rsidRPr="00037B5E" w14:paraId="27572A7A" w14:textId="58CA55AC" w:rsidTr="00C43D6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97" w:type="dxa"/>
            <w:vAlign w:val="center"/>
          </w:tcPr>
          <w:p w14:paraId="7BD866D2" w14:textId="4F84BE5E" w:rsidR="00037B5E" w:rsidRPr="00037B5E" w:rsidRDefault="00037B5E" w:rsidP="00C43D60">
            <w:pPr>
              <w:spacing w:line="240" w:lineRule="auto"/>
              <w:jc w:val="center"/>
              <w:rPr>
                <w:rFonts w:cs="Times New Roman"/>
                <w:sz w:val="16"/>
                <w:szCs w:val="16"/>
              </w:rPr>
            </w:pPr>
            <w:r w:rsidRPr="00037B5E">
              <w:rPr>
                <w:rFonts w:cs="Times New Roman"/>
                <w:sz w:val="16"/>
                <w:szCs w:val="16"/>
              </w:rPr>
              <w:t>MAU</w:t>
            </w:r>
          </w:p>
        </w:tc>
        <w:tc>
          <w:tcPr>
            <w:tcW w:w="1390" w:type="dxa"/>
            <w:vAlign w:val="center"/>
          </w:tcPr>
          <w:p w14:paraId="37ED9062" w14:textId="248A10B6"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35</w:t>
            </w:r>
          </w:p>
        </w:tc>
        <w:tc>
          <w:tcPr>
            <w:tcW w:w="1215" w:type="dxa"/>
            <w:vAlign w:val="center"/>
          </w:tcPr>
          <w:p w14:paraId="2FC8D073" w14:textId="5CA90EFC"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-0.5</w:t>
            </w:r>
          </w:p>
        </w:tc>
        <w:tc>
          <w:tcPr>
            <w:tcW w:w="968" w:type="dxa"/>
            <w:vAlign w:val="center"/>
          </w:tcPr>
          <w:p w14:paraId="45F1A53E" w14:textId="5CB0C807"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-1.4</w:t>
            </w:r>
          </w:p>
        </w:tc>
        <w:tc>
          <w:tcPr>
            <w:tcW w:w="1339" w:type="dxa"/>
            <w:vAlign w:val="center"/>
          </w:tcPr>
          <w:p w14:paraId="625D10B7" w14:textId="2891C51D"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33</w:t>
            </w:r>
          </w:p>
        </w:tc>
        <w:tc>
          <w:tcPr>
            <w:tcW w:w="993" w:type="dxa"/>
            <w:vAlign w:val="center"/>
          </w:tcPr>
          <w:p w14:paraId="34E0E74E" w14:textId="29FF228E"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0.7</w:t>
            </w:r>
          </w:p>
        </w:tc>
        <w:tc>
          <w:tcPr>
            <w:tcW w:w="997" w:type="dxa"/>
            <w:vAlign w:val="center"/>
          </w:tcPr>
          <w:p w14:paraId="654594BA" w14:textId="3BDD68FE"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1.4</w:t>
            </w:r>
          </w:p>
        </w:tc>
      </w:tr>
      <w:tr w:rsidR="00A3285A" w:rsidRPr="00037B5E" w14:paraId="0ADEBFCE" w14:textId="6F2FBEBC" w:rsidTr="00C43D60">
        <w:trPr>
          <w:trHeight w:val="308"/>
          <w:jc w:val="center"/>
        </w:trPr>
        <w:tc>
          <w:tcPr>
            <w:cnfStyle w:val="001000000000" w:firstRow="0" w:lastRow="0" w:firstColumn="1" w:lastColumn="0" w:oddVBand="0" w:evenVBand="0" w:oddHBand="0" w:evenHBand="0" w:firstRowFirstColumn="0" w:firstRowLastColumn="0" w:lastRowFirstColumn="0" w:lastRowLastColumn="0"/>
            <w:tcW w:w="1197" w:type="dxa"/>
            <w:vAlign w:val="center"/>
          </w:tcPr>
          <w:p w14:paraId="560556AC" w14:textId="328805A6" w:rsidR="00037B5E" w:rsidRPr="00037B5E" w:rsidRDefault="00037B5E" w:rsidP="00C43D60">
            <w:pPr>
              <w:spacing w:line="240" w:lineRule="auto"/>
              <w:jc w:val="center"/>
              <w:rPr>
                <w:rFonts w:cs="Times New Roman"/>
                <w:sz w:val="16"/>
                <w:szCs w:val="16"/>
              </w:rPr>
            </w:pPr>
            <w:r w:rsidRPr="00037B5E">
              <w:rPr>
                <w:rFonts w:cs="Times New Roman"/>
                <w:sz w:val="16"/>
                <w:szCs w:val="16"/>
              </w:rPr>
              <w:t>POR</w:t>
            </w:r>
          </w:p>
        </w:tc>
        <w:tc>
          <w:tcPr>
            <w:tcW w:w="1390" w:type="dxa"/>
            <w:vAlign w:val="center"/>
          </w:tcPr>
          <w:p w14:paraId="25DAE1D9" w14:textId="0BC22139"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2</w:t>
            </w:r>
            <w:r>
              <w:rPr>
                <w:rFonts w:cs="Times New Roman"/>
                <w:color w:val="000000"/>
                <w:sz w:val="16"/>
                <w:szCs w:val="16"/>
              </w:rPr>
              <w:t>9</w:t>
            </w:r>
          </w:p>
        </w:tc>
        <w:tc>
          <w:tcPr>
            <w:tcW w:w="1215" w:type="dxa"/>
            <w:vAlign w:val="center"/>
          </w:tcPr>
          <w:p w14:paraId="591701BF" w14:textId="04F69B0C"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-0.3</w:t>
            </w:r>
          </w:p>
        </w:tc>
        <w:tc>
          <w:tcPr>
            <w:tcW w:w="968" w:type="dxa"/>
            <w:vAlign w:val="center"/>
          </w:tcPr>
          <w:p w14:paraId="62AAD3E7" w14:textId="03A6E16C"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-0.3</w:t>
            </w:r>
          </w:p>
        </w:tc>
        <w:tc>
          <w:tcPr>
            <w:tcW w:w="1339" w:type="dxa"/>
            <w:vAlign w:val="center"/>
          </w:tcPr>
          <w:p w14:paraId="4E9024C0" w14:textId="5CE9B3D5"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30</w:t>
            </w:r>
          </w:p>
        </w:tc>
        <w:tc>
          <w:tcPr>
            <w:tcW w:w="993" w:type="dxa"/>
            <w:vAlign w:val="center"/>
          </w:tcPr>
          <w:p w14:paraId="36F2C830" w14:textId="3811B616"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1.6</w:t>
            </w:r>
          </w:p>
        </w:tc>
        <w:tc>
          <w:tcPr>
            <w:tcW w:w="997" w:type="dxa"/>
            <w:vAlign w:val="center"/>
          </w:tcPr>
          <w:p w14:paraId="15B52D08" w14:textId="1A832D5B"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1.6</w:t>
            </w:r>
          </w:p>
        </w:tc>
      </w:tr>
      <w:tr w:rsidR="00A3285A" w:rsidRPr="00037B5E" w14:paraId="1B6D0510" w14:textId="5D752D14" w:rsidTr="00C43D6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97" w:type="dxa"/>
            <w:vAlign w:val="center"/>
          </w:tcPr>
          <w:p w14:paraId="1E710473" w14:textId="274D818E" w:rsidR="00037B5E" w:rsidRPr="00037B5E" w:rsidRDefault="00037B5E" w:rsidP="00C43D60">
            <w:pPr>
              <w:spacing w:line="240" w:lineRule="auto"/>
              <w:jc w:val="center"/>
              <w:rPr>
                <w:rFonts w:cs="Times New Roman"/>
                <w:sz w:val="16"/>
                <w:szCs w:val="16"/>
              </w:rPr>
            </w:pPr>
            <w:r w:rsidRPr="00037B5E">
              <w:rPr>
                <w:rFonts w:cs="Times New Roman"/>
                <w:sz w:val="16"/>
                <w:szCs w:val="16"/>
              </w:rPr>
              <w:lastRenderedPageBreak/>
              <w:t>RAI</w:t>
            </w:r>
          </w:p>
        </w:tc>
        <w:tc>
          <w:tcPr>
            <w:tcW w:w="1390" w:type="dxa"/>
            <w:vAlign w:val="center"/>
          </w:tcPr>
          <w:p w14:paraId="70C4759C" w14:textId="6D729BE4"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32</w:t>
            </w:r>
          </w:p>
        </w:tc>
        <w:tc>
          <w:tcPr>
            <w:tcW w:w="1215" w:type="dxa"/>
            <w:vAlign w:val="center"/>
          </w:tcPr>
          <w:p w14:paraId="3BE0C69A" w14:textId="34229958"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0.3</w:t>
            </w:r>
          </w:p>
        </w:tc>
        <w:tc>
          <w:tcPr>
            <w:tcW w:w="968" w:type="dxa"/>
            <w:vAlign w:val="center"/>
          </w:tcPr>
          <w:p w14:paraId="392FCF32" w14:textId="2E6185C8"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-2.9</w:t>
            </w:r>
          </w:p>
        </w:tc>
        <w:tc>
          <w:tcPr>
            <w:tcW w:w="1339" w:type="dxa"/>
            <w:vAlign w:val="center"/>
          </w:tcPr>
          <w:p w14:paraId="7A2C956A" w14:textId="66205223"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3</w:t>
            </w:r>
            <w:r>
              <w:rPr>
                <w:rFonts w:cs="Times New Roman"/>
                <w:color w:val="000000"/>
                <w:sz w:val="16"/>
                <w:szCs w:val="16"/>
              </w:rPr>
              <w:t>1</w:t>
            </w:r>
          </w:p>
        </w:tc>
        <w:tc>
          <w:tcPr>
            <w:tcW w:w="993" w:type="dxa"/>
            <w:vAlign w:val="center"/>
          </w:tcPr>
          <w:p w14:paraId="7B02C02B" w14:textId="356FBAD9"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3.0</w:t>
            </w:r>
          </w:p>
        </w:tc>
        <w:tc>
          <w:tcPr>
            <w:tcW w:w="997" w:type="dxa"/>
            <w:vAlign w:val="center"/>
          </w:tcPr>
          <w:p w14:paraId="734F3FAA" w14:textId="1A5FF8EA"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0.5</w:t>
            </w:r>
          </w:p>
        </w:tc>
      </w:tr>
      <w:tr w:rsidR="00A3285A" w:rsidRPr="00037B5E" w14:paraId="402C7499" w14:textId="5B16E2B3" w:rsidTr="00C43D60">
        <w:trPr>
          <w:trHeight w:val="308"/>
          <w:jc w:val="center"/>
        </w:trPr>
        <w:tc>
          <w:tcPr>
            <w:cnfStyle w:val="001000000000" w:firstRow="0" w:lastRow="0" w:firstColumn="1" w:lastColumn="0" w:oddVBand="0" w:evenVBand="0" w:oddHBand="0" w:evenHBand="0" w:firstRowFirstColumn="0" w:firstRowLastColumn="0" w:lastRowFirstColumn="0" w:lastRowLastColumn="0"/>
            <w:tcW w:w="1197" w:type="dxa"/>
            <w:vAlign w:val="center"/>
          </w:tcPr>
          <w:p w14:paraId="4067EC89" w14:textId="636FECAA" w:rsidR="00037B5E" w:rsidRPr="00037B5E" w:rsidRDefault="00037B5E" w:rsidP="00C43D60">
            <w:pPr>
              <w:spacing w:line="240" w:lineRule="auto"/>
              <w:jc w:val="center"/>
              <w:rPr>
                <w:rFonts w:cs="Times New Roman"/>
                <w:sz w:val="16"/>
                <w:szCs w:val="16"/>
              </w:rPr>
            </w:pPr>
            <w:r w:rsidRPr="00037B5E">
              <w:rPr>
                <w:rFonts w:cs="Times New Roman"/>
                <w:sz w:val="16"/>
                <w:szCs w:val="16"/>
              </w:rPr>
              <w:t>SAN</w:t>
            </w:r>
          </w:p>
        </w:tc>
        <w:tc>
          <w:tcPr>
            <w:tcW w:w="1390" w:type="dxa"/>
            <w:vAlign w:val="center"/>
          </w:tcPr>
          <w:p w14:paraId="6DEA26AC" w14:textId="38E82CBB"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36</w:t>
            </w:r>
          </w:p>
        </w:tc>
        <w:tc>
          <w:tcPr>
            <w:tcW w:w="1215" w:type="dxa"/>
            <w:vAlign w:val="center"/>
          </w:tcPr>
          <w:p w14:paraId="4ADA8BB2" w14:textId="6E562810"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1.1</w:t>
            </w:r>
          </w:p>
        </w:tc>
        <w:tc>
          <w:tcPr>
            <w:tcW w:w="968" w:type="dxa"/>
            <w:vAlign w:val="center"/>
          </w:tcPr>
          <w:p w14:paraId="3D2E0534" w14:textId="43FBC3CB"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1</w:t>
            </w:r>
            <w:r>
              <w:rPr>
                <w:rFonts w:cs="Times New Roman"/>
                <w:color w:val="000000"/>
                <w:sz w:val="16"/>
                <w:szCs w:val="16"/>
              </w:rPr>
              <w:t>.0</w:t>
            </w:r>
          </w:p>
        </w:tc>
        <w:tc>
          <w:tcPr>
            <w:tcW w:w="1339" w:type="dxa"/>
            <w:vAlign w:val="center"/>
          </w:tcPr>
          <w:p w14:paraId="298A780E" w14:textId="4A4BDE4F"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34</w:t>
            </w:r>
          </w:p>
        </w:tc>
        <w:tc>
          <w:tcPr>
            <w:tcW w:w="993" w:type="dxa"/>
            <w:vAlign w:val="center"/>
          </w:tcPr>
          <w:p w14:paraId="520F8352" w14:textId="6EDCF9EE"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2.5</w:t>
            </w:r>
          </w:p>
        </w:tc>
        <w:tc>
          <w:tcPr>
            <w:tcW w:w="997" w:type="dxa"/>
            <w:vAlign w:val="center"/>
          </w:tcPr>
          <w:p w14:paraId="1803C36C" w14:textId="2E6CFFE5"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3.4</w:t>
            </w:r>
          </w:p>
        </w:tc>
      </w:tr>
      <w:tr w:rsidR="00A3285A" w:rsidRPr="00037B5E" w14:paraId="672C8AA5" w14:textId="7AE1249B" w:rsidTr="00C43D6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97" w:type="dxa"/>
            <w:tcBorders>
              <w:bottom w:val="single" w:sz="4" w:space="0" w:color="auto"/>
            </w:tcBorders>
            <w:vAlign w:val="center"/>
          </w:tcPr>
          <w:p w14:paraId="672CF652" w14:textId="32CFD780" w:rsidR="00037B5E" w:rsidRPr="00037B5E" w:rsidRDefault="00037B5E" w:rsidP="00C43D60">
            <w:pPr>
              <w:spacing w:line="240" w:lineRule="auto"/>
              <w:jc w:val="center"/>
              <w:rPr>
                <w:rFonts w:cs="Times New Roman"/>
                <w:sz w:val="16"/>
                <w:szCs w:val="16"/>
              </w:rPr>
            </w:pPr>
            <w:r w:rsidRPr="00037B5E">
              <w:rPr>
                <w:rFonts w:cs="Times New Roman"/>
                <w:sz w:val="16"/>
                <w:szCs w:val="16"/>
              </w:rPr>
              <w:t>TIF</w:t>
            </w:r>
          </w:p>
        </w:tc>
        <w:tc>
          <w:tcPr>
            <w:tcW w:w="1390" w:type="dxa"/>
            <w:tcBorders>
              <w:bottom w:val="single" w:sz="4" w:space="0" w:color="auto"/>
            </w:tcBorders>
            <w:vAlign w:val="center"/>
          </w:tcPr>
          <w:p w14:paraId="42F2A884" w14:textId="5BD27A2E"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32</w:t>
            </w:r>
          </w:p>
        </w:tc>
        <w:tc>
          <w:tcPr>
            <w:tcW w:w="1215" w:type="dxa"/>
            <w:tcBorders>
              <w:bottom w:val="single" w:sz="4" w:space="0" w:color="auto"/>
            </w:tcBorders>
            <w:vAlign w:val="center"/>
          </w:tcPr>
          <w:p w14:paraId="7237AC0A" w14:textId="4D3369FE"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-0.6</w:t>
            </w:r>
          </w:p>
        </w:tc>
        <w:tc>
          <w:tcPr>
            <w:tcW w:w="968" w:type="dxa"/>
            <w:tcBorders>
              <w:bottom w:val="single" w:sz="4" w:space="0" w:color="auto"/>
            </w:tcBorders>
            <w:vAlign w:val="center"/>
          </w:tcPr>
          <w:p w14:paraId="5CCFDE89" w14:textId="48762165"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-2.5</w:t>
            </w:r>
          </w:p>
        </w:tc>
        <w:tc>
          <w:tcPr>
            <w:tcW w:w="1339" w:type="dxa"/>
            <w:tcBorders>
              <w:bottom w:val="single" w:sz="4" w:space="0" w:color="auto"/>
            </w:tcBorders>
            <w:vAlign w:val="center"/>
          </w:tcPr>
          <w:p w14:paraId="2D9924FB" w14:textId="70B03E89"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2</w:t>
            </w:r>
            <w:r>
              <w:rPr>
                <w:rFonts w:cs="Times New Roman"/>
                <w:color w:val="000000"/>
                <w:sz w:val="16"/>
                <w:szCs w:val="16"/>
              </w:rPr>
              <w:t>9</w:t>
            </w:r>
          </w:p>
        </w:tc>
        <w:tc>
          <w:tcPr>
            <w:tcW w:w="993" w:type="dxa"/>
            <w:tcBorders>
              <w:bottom w:val="single" w:sz="4" w:space="0" w:color="auto"/>
            </w:tcBorders>
            <w:vAlign w:val="center"/>
          </w:tcPr>
          <w:p w14:paraId="1D11F906" w14:textId="26A1C557"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1.3</w:t>
            </w:r>
          </w:p>
        </w:tc>
        <w:tc>
          <w:tcPr>
            <w:tcW w:w="997" w:type="dxa"/>
            <w:tcBorders>
              <w:bottom w:val="single" w:sz="4" w:space="0" w:color="auto"/>
            </w:tcBorders>
            <w:vAlign w:val="center"/>
          </w:tcPr>
          <w:p w14:paraId="2A4648F8" w14:textId="271C6995"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0.4</w:t>
            </w:r>
          </w:p>
        </w:tc>
      </w:tr>
      <w:tr w:rsidR="00037B5E" w:rsidRPr="00037B5E" w14:paraId="32BF940B" w14:textId="6B13570B" w:rsidTr="00C43D60">
        <w:trPr>
          <w:trHeight w:val="308"/>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4" w:space="0" w:color="auto"/>
              <w:bottom w:val="single" w:sz="4" w:space="0" w:color="7F7F7F" w:themeColor="text1" w:themeTint="80"/>
            </w:tcBorders>
            <w:vAlign w:val="center"/>
          </w:tcPr>
          <w:p w14:paraId="6DBCE210" w14:textId="7A9F35BF" w:rsidR="00037B5E" w:rsidRPr="00037B5E" w:rsidRDefault="00037B5E" w:rsidP="00C43D60">
            <w:pPr>
              <w:spacing w:line="240" w:lineRule="auto"/>
              <w:jc w:val="center"/>
              <w:rPr>
                <w:rFonts w:cs="Times New Roman"/>
                <w:sz w:val="16"/>
                <w:szCs w:val="16"/>
              </w:rPr>
            </w:pPr>
            <w:r w:rsidRPr="00037B5E">
              <w:rPr>
                <w:rFonts w:cs="Times New Roman"/>
                <w:sz w:val="16"/>
                <w:szCs w:val="16"/>
              </w:rPr>
              <w:t>Average</w:t>
            </w:r>
          </w:p>
        </w:tc>
        <w:tc>
          <w:tcPr>
            <w:tcW w:w="1390" w:type="dxa"/>
            <w:tcBorders>
              <w:top w:val="single" w:sz="4" w:space="0" w:color="auto"/>
              <w:bottom w:val="single" w:sz="4" w:space="0" w:color="7F7F7F" w:themeColor="text1" w:themeTint="80"/>
            </w:tcBorders>
            <w:vAlign w:val="center"/>
          </w:tcPr>
          <w:p w14:paraId="0239669E" w14:textId="692C3137" w:rsidR="00037B5E" w:rsidRPr="00037B5E" w:rsidRDefault="00C43D60"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33</w:t>
            </w:r>
          </w:p>
        </w:tc>
        <w:tc>
          <w:tcPr>
            <w:tcW w:w="1215" w:type="dxa"/>
            <w:tcBorders>
              <w:top w:val="single" w:sz="4" w:space="0" w:color="auto"/>
              <w:bottom w:val="single" w:sz="4" w:space="0" w:color="7F7F7F" w:themeColor="text1" w:themeTint="80"/>
            </w:tcBorders>
            <w:vAlign w:val="center"/>
          </w:tcPr>
          <w:p w14:paraId="6F2276F7" w14:textId="2AE90EC7"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0.3</w:t>
            </w:r>
          </w:p>
        </w:tc>
        <w:tc>
          <w:tcPr>
            <w:tcW w:w="968" w:type="dxa"/>
            <w:tcBorders>
              <w:top w:val="single" w:sz="4" w:space="0" w:color="auto"/>
              <w:bottom w:val="single" w:sz="4" w:space="0" w:color="7F7F7F" w:themeColor="text1" w:themeTint="80"/>
            </w:tcBorders>
            <w:vAlign w:val="center"/>
          </w:tcPr>
          <w:p w14:paraId="183ACB16" w14:textId="49E8B95D"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-0.7</w:t>
            </w:r>
          </w:p>
        </w:tc>
        <w:tc>
          <w:tcPr>
            <w:tcW w:w="1339" w:type="dxa"/>
            <w:tcBorders>
              <w:top w:val="single" w:sz="4" w:space="0" w:color="auto"/>
              <w:bottom w:val="single" w:sz="4" w:space="0" w:color="7F7F7F" w:themeColor="text1" w:themeTint="80"/>
            </w:tcBorders>
            <w:vAlign w:val="center"/>
          </w:tcPr>
          <w:p w14:paraId="228DBE05" w14:textId="5A242FA9" w:rsidR="00037B5E" w:rsidRPr="00037B5E" w:rsidRDefault="00C43D60"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32</w:t>
            </w:r>
          </w:p>
        </w:tc>
        <w:tc>
          <w:tcPr>
            <w:tcW w:w="993" w:type="dxa"/>
            <w:tcBorders>
              <w:top w:val="single" w:sz="4" w:space="0" w:color="auto"/>
              <w:bottom w:val="single" w:sz="4" w:space="0" w:color="7F7F7F" w:themeColor="text1" w:themeTint="80"/>
            </w:tcBorders>
            <w:vAlign w:val="center"/>
          </w:tcPr>
          <w:p w14:paraId="1E314C3D" w14:textId="1DCC48D4"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1.6</w:t>
            </w:r>
          </w:p>
        </w:tc>
        <w:tc>
          <w:tcPr>
            <w:tcW w:w="997" w:type="dxa"/>
            <w:tcBorders>
              <w:top w:val="single" w:sz="4" w:space="0" w:color="auto"/>
              <w:bottom w:val="single" w:sz="4" w:space="0" w:color="7F7F7F" w:themeColor="text1" w:themeTint="80"/>
            </w:tcBorders>
            <w:vAlign w:val="center"/>
          </w:tcPr>
          <w:p w14:paraId="5FFF2B8B" w14:textId="7D6DDA71"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1.4</w:t>
            </w:r>
          </w:p>
        </w:tc>
      </w:tr>
    </w:tbl>
    <w:p w14:paraId="3B201539" w14:textId="77777777" w:rsidR="00552A1A" w:rsidRPr="00552A1A" w:rsidRDefault="00552A1A" w:rsidP="00552A1A"/>
    <w:p w14:paraId="5D9264CC" w14:textId="0781DF9F" w:rsidR="00D9268F" w:rsidRDefault="00552A1A" w:rsidP="00D9268F">
      <w:pPr>
        <w:pStyle w:val="Heading3"/>
      </w:pPr>
      <w:r>
        <w:t xml:space="preserve">Spring </w:t>
      </w:r>
      <w:r w:rsidR="00A3285A">
        <w:t>(Mar-Jul) P dynamics in WLEB streams and rivers</w:t>
      </w:r>
    </w:p>
    <w:p w14:paraId="0C140B6C" w14:textId="77777777" w:rsidR="0086141C" w:rsidRDefault="0086141C" w:rsidP="0086141C">
      <w:pPr>
        <w:ind w:firstLine="720"/>
      </w:pPr>
      <w:r>
        <w:t>The P fluxes released during the spring season ranged from 47 to 52% of the annual SRP FN flux and 54 to 58% of the annual TP flux (Table 6). Thus, the spring season delivers the largest relative amount of P within the year. Therefore, percent changes in the spring season represent the largest relative changes in P delivery and have the largest relative influence on annual P delivery. From 2008-2022, spring SRP fluxes were upward at five of the seven sites, with only Tiffin and Maumee sites showing downward trends. The greatest of these upward trends occurred at the Blanchard site. Relative to the whole period, spring SRP FN flux trends in recent years (from 2015-2022) were either weaker upward, transitions to downward, or stronger downward trends at every site except for Portage – where the upward trend had strengthened. These results suggest that efforts to reduce SRP export and improve water quality in the basin has been having a positive effect – if only a slight positive effect.</w:t>
      </w:r>
    </w:p>
    <w:p w14:paraId="1C6C916F" w14:textId="68D07F01" w:rsidR="0086141C" w:rsidRPr="0086141C" w:rsidRDefault="0086141C" w:rsidP="0086141C">
      <w:pPr>
        <w:ind w:firstLine="720"/>
      </w:pPr>
      <w:r>
        <w:t xml:space="preserve">Again, unlike SRP trends, spring FN flux trends for TP were upward at all sites over the whole period (2008-2022) (Table 6). Furthermore, spring TP flux trends showed increasing upward trends at five sites in recent years. Only the Tiffin and Raisin sites didn’t show increasing upward trends, instead they showed weakening upward trends. The strengthening upward trends in spring TP fluxes in large watersheds suggest that - </w:t>
      </w:r>
      <w:proofErr w:type="gramStart"/>
      <w:r>
        <w:t>similar to</w:t>
      </w:r>
      <w:proofErr w:type="gramEnd"/>
      <w:r>
        <w:t xml:space="preserve"> the other season - spring TP losses have been increasing across the basin.</w:t>
      </w:r>
    </w:p>
    <w:p w14:paraId="740EDD42" w14:textId="2DAFFA18" w:rsidR="00E24710" w:rsidRPr="00E24710" w:rsidRDefault="00E24710" w:rsidP="00E24710">
      <w:pPr>
        <w:pStyle w:val="Caption"/>
      </w:pPr>
      <w:r>
        <w:t>Table 6: Overview of SRP and TP FN fluxes during the spring season. The spring season lasted from 1 Mar through 31 Jul. FN flux trends are reported as the rate of percent change (%) over the period of interest. The percentage of annual FN Flux is the mean percentage of the FN flux released during the spring season from 2008-2022.</w:t>
      </w:r>
    </w:p>
    <w:tbl>
      <w:tblPr>
        <w:tblStyle w:val="PlainTable2"/>
        <w:tblW w:w="0" w:type="auto"/>
        <w:jc w:val="center"/>
        <w:tblLook w:val="04A0" w:firstRow="1" w:lastRow="0" w:firstColumn="1" w:lastColumn="0" w:noHBand="0" w:noVBand="1"/>
      </w:tblPr>
      <w:tblGrid>
        <w:gridCol w:w="1216"/>
        <w:gridCol w:w="1414"/>
        <w:gridCol w:w="1235"/>
        <w:gridCol w:w="1085"/>
        <w:gridCol w:w="1258"/>
        <w:gridCol w:w="1011"/>
        <w:gridCol w:w="1012"/>
      </w:tblGrid>
      <w:tr w:rsidR="00037B5E" w:rsidRPr="00037B5E" w14:paraId="2632E4B7" w14:textId="77777777" w:rsidTr="00C43D60">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vMerge w:val="restart"/>
            <w:vAlign w:val="center"/>
          </w:tcPr>
          <w:p w14:paraId="700A58E8" w14:textId="75BD5265" w:rsidR="00037B5E" w:rsidRPr="00037B5E" w:rsidRDefault="00037B5E" w:rsidP="00C43D60">
            <w:pPr>
              <w:spacing w:line="240" w:lineRule="auto"/>
              <w:jc w:val="center"/>
              <w:rPr>
                <w:rFonts w:cs="Times New Roman"/>
                <w:sz w:val="16"/>
                <w:szCs w:val="16"/>
              </w:rPr>
            </w:pPr>
            <w:r w:rsidRPr="00037B5E">
              <w:rPr>
                <w:rFonts w:cs="Times New Roman"/>
                <w:sz w:val="16"/>
                <w:szCs w:val="16"/>
              </w:rPr>
              <w:lastRenderedPageBreak/>
              <w:t>Sites</w:t>
            </w:r>
          </w:p>
        </w:tc>
        <w:tc>
          <w:tcPr>
            <w:tcW w:w="3734" w:type="dxa"/>
            <w:gridSpan w:val="3"/>
            <w:vAlign w:val="center"/>
          </w:tcPr>
          <w:p w14:paraId="16CE1855" w14:textId="4824192D" w:rsidR="00037B5E" w:rsidRPr="00037B5E" w:rsidRDefault="00037B5E"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SRP</w:t>
            </w:r>
          </w:p>
        </w:tc>
        <w:tc>
          <w:tcPr>
            <w:tcW w:w="3281" w:type="dxa"/>
            <w:gridSpan w:val="3"/>
            <w:vAlign w:val="center"/>
          </w:tcPr>
          <w:p w14:paraId="4DC8AA1C" w14:textId="7D32C6E9" w:rsidR="00037B5E" w:rsidRPr="00037B5E" w:rsidRDefault="00037B5E"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TP</w:t>
            </w:r>
          </w:p>
        </w:tc>
      </w:tr>
      <w:tr w:rsidR="00037B5E" w:rsidRPr="00037B5E" w14:paraId="7DBBAC59" w14:textId="77777777" w:rsidTr="00C43D60">
        <w:trPr>
          <w:cnfStyle w:val="000000100000" w:firstRow="0" w:lastRow="0" w:firstColumn="0" w:lastColumn="0" w:oddVBand="0" w:evenVBand="0" w:oddHBand="1" w:evenHBand="0" w:firstRowFirstColumn="0" w:firstRowLastColumn="0" w:lastRowFirstColumn="0" w:lastRowLastColumn="0"/>
          <w:trHeight w:val="533"/>
          <w:jc w:val="center"/>
        </w:trPr>
        <w:tc>
          <w:tcPr>
            <w:cnfStyle w:val="001000000000" w:firstRow="0" w:lastRow="0" w:firstColumn="1" w:lastColumn="0" w:oddVBand="0" w:evenVBand="0" w:oddHBand="0" w:evenHBand="0" w:firstRowFirstColumn="0" w:firstRowLastColumn="0" w:lastRowFirstColumn="0" w:lastRowLastColumn="0"/>
            <w:tcW w:w="1216" w:type="dxa"/>
            <w:vMerge/>
            <w:vAlign w:val="center"/>
          </w:tcPr>
          <w:p w14:paraId="097D1394" w14:textId="769E268A" w:rsidR="00037B5E" w:rsidRPr="00037B5E" w:rsidRDefault="00037B5E" w:rsidP="00C43D60">
            <w:pPr>
              <w:spacing w:line="240" w:lineRule="auto"/>
              <w:jc w:val="center"/>
              <w:rPr>
                <w:rFonts w:cs="Times New Roman"/>
                <w:sz w:val="16"/>
                <w:szCs w:val="16"/>
              </w:rPr>
            </w:pPr>
          </w:p>
        </w:tc>
        <w:tc>
          <w:tcPr>
            <w:tcW w:w="1414" w:type="dxa"/>
            <w:vMerge w:val="restart"/>
            <w:vAlign w:val="center"/>
          </w:tcPr>
          <w:p w14:paraId="1E64D91A" w14:textId="77777777"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Percentage of annual FN trend</w:t>
            </w:r>
          </w:p>
        </w:tc>
        <w:tc>
          <w:tcPr>
            <w:tcW w:w="2320" w:type="dxa"/>
            <w:gridSpan w:val="2"/>
            <w:vAlign w:val="center"/>
          </w:tcPr>
          <w:p w14:paraId="1DE98719" w14:textId="77777777"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FN flux trends</w:t>
            </w:r>
          </w:p>
        </w:tc>
        <w:tc>
          <w:tcPr>
            <w:tcW w:w="1258" w:type="dxa"/>
            <w:vMerge w:val="restart"/>
            <w:vAlign w:val="center"/>
          </w:tcPr>
          <w:p w14:paraId="22F09CF4" w14:textId="77777777"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Percentage of annual FN trend</w:t>
            </w:r>
          </w:p>
        </w:tc>
        <w:tc>
          <w:tcPr>
            <w:tcW w:w="2023" w:type="dxa"/>
            <w:gridSpan w:val="2"/>
            <w:vAlign w:val="center"/>
          </w:tcPr>
          <w:p w14:paraId="474A0557" w14:textId="64F309EF"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FN flux trends</w:t>
            </w:r>
          </w:p>
        </w:tc>
      </w:tr>
      <w:tr w:rsidR="00037B5E" w:rsidRPr="00037B5E" w14:paraId="2733AD01" w14:textId="77777777" w:rsidTr="00C43D60">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vMerge/>
            <w:vAlign w:val="center"/>
          </w:tcPr>
          <w:p w14:paraId="23CFD90E" w14:textId="0D4E191D" w:rsidR="00037B5E" w:rsidRPr="00037B5E" w:rsidRDefault="00037B5E" w:rsidP="00C43D60">
            <w:pPr>
              <w:spacing w:line="240" w:lineRule="auto"/>
              <w:jc w:val="center"/>
              <w:rPr>
                <w:rFonts w:cs="Times New Roman"/>
                <w:sz w:val="16"/>
                <w:szCs w:val="16"/>
              </w:rPr>
            </w:pPr>
          </w:p>
        </w:tc>
        <w:tc>
          <w:tcPr>
            <w:tcW w:w="1414" w:type="dxa"/>
            <w:vMerge/>
            <w:vAlign w:val="center"/>
          </w:tcPr>
          <w:p w14:paraId="77C6B856" w14:textId="77777777"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35" w:type="dxa"/>
            <w:vAlign w:val="center"/>
          </w:tcPr>
          <w:p w14:paraId="1D9ABBAC" w14:textId="77777777"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2008-2022</w:t>
            </w:r>
          </w:p>
        </w:tc>
        <w:tc>
          <w:tcPr>
            <w:tcW w:w="1085" w:type="dxa"/>
            <w:vAlign w:val="center"/>
          </w:tcPr>
          <w:p w14:paraId="541E75D9" w14:textId="77777777"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2015-2022</w:t>
            </w:r>
          </w:p>
        </w:tc>
        <w:tc>
          <w:tcPr>
            <w:tcW w:w="1258" w:type="dxa"/>
            <w:vMerge/>
            <w:vAlign w:val="center"/>
          </w:tcPr>
          <w:p w14:paraId="2F9BE0CC" w14:textId="77777777"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011" w:type="dxa"/>
            <w:vAlign w:val="center"/>
          </w:tcPr>
          <w:p w14:paraId="0A0BB938" w14:textId="77777777"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2008-2022</w:t>
            </w:r>
          </w:p>
        </w:tc>
        <w:tc>
          <w:tcPr>
            <w:tcW w:w="1012" w:type="dxa"/>
            <w:vAlign w:val="center"/>
          </w:tcPr>
          <w:p w14:paraId="7ECD5B47" w14:textId="77777777"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2015-2022</w:t>
            </w:r>
          </w:p>
        </w:tc>
      </w:tr>
      <w:tr w:rsidR="00037B5E" w:rsidRPr="00037B5E" w14:paraId="7E4A1BA1" w14:textId="77777777" w:rsidTr="00C43D6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0480BCBC" w14:textId="77777777" w:rsidR="00037B5E" w:rsidRPr="00037B5E" w:rsidRDefault="00037B5E" w:rsidP="00C43D60">
            <w:pPr>
              <w:spacing w:line="240" w:lineRule="auto"/>
              <w:jc w:val="center"/>
              <w:rPr>
                <w:rFonts w:cs="Times New Roman"/>
                <w:sz w:val="16"/>
                <w:szCs w:val="16"/>
              </w:rPr>
            </w:pPr>
            <w:r w:rsidRPr="00037B5E">
              <w:rPr>
                <w:rFonts w:cs="Times New Roman"/>
                <w:sz w:val="16"/>
                <w:szCs w:val="16"/>
              </w:rPr>
              <w:t>BLA</w:t>
            </w:r>
          </w:p>
        </w:tc>
        <w:tc>
          <w:tcPr>
            <w:tcW w:w="1414" w:type="dxa"/>
            <w:vAlign w:val="center"/>
          </w:tcPr>
          <w:p w14:paraId="59D522B4" w14:textId="2D5C4BD5"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037B5E">
              <w:rPr>
                <w:rFonts w:cs="Times New Roman"/>
                <w:color w:val="000000"/>
                <w:sz w:val="16"/>
                <w:szCs w:val="16"/>
              </w:rPr>
              <w:t>49</w:t>
            </w:r>
          </w:p>
        </w:tc>
        <w:tc>
          <w:tcPr>
            <w:tcW w:w="1235" w:type="dxa"/>
            <w:vAlign w:val="center"/>
          </w:tcPr>
          <w:p w14:paraId="60A14C40" w14:textId="42E369A2"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2.4</w:t>
            </w:r>
          </w:p>
        </w:tc>
        <w:tc>
          <w:tcPr>
            <w:tcW w:w="1085" w:type="dxa"/>
            <w:vAlign w:val="center"/>
          </w:tcPr>
          <w:p w14:paraId="26F70C91" w14:textId="2958398E"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1.7</w:t>
            </w:r>
          </w:p>
        </w:tc>
        <w:tc>
          <w:tcPr>
            <w:tcW w:w="1258" w:type="dxa"/>
            <w:vAlign w:val="center"/>
          </w:tcPr>
          <w:p w14:paraId="6EA9DDEE" w14:textId="6BB91382"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037B5E">
              <w:rPr>
                <w:rFonts w:cs="Times New Roman"/>
                <w:color w:val="000000"/>
                <w:sz w:val="16"/>
                <w:szCs w:val="16"/>
              </w:rPr>
              <w:t>56</w:t>
            </w:r>
          </w:p>
        </w:tc>
        <w:tc>
          <w:tcPr>
            <w:tcW w:w="1011" w:type="dxa"/>
            <w:vAlign w:val="center"/>
          </w:tcPr>
          <w:p w14:paraId="05B3E9B4" w14:textId="71D2BCA5"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1.1</w:t>
            </w:r>
          </w:p>
        </w:tc>
        <w:tc>
          <w:tcPr>
            <w:tcW w:w="1012" w:type="dxa"/>
            <w:vAlign w:val="center"/>
          </w:tcPr>
          <w:p w14:paraId="621943C7" w14:textId="3C9BF463"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2.2</w:t>
            </w:r>
          </w:p>
        </w:tc>
      </w:tr>
      <w:tr w:rsidR="00037B5E" w:rsidRPr="00037B5E" w14:paraId="6AD2CF20" w14:textId="77777777" w:rsidTr="00C43D60">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7C12F6BB" w14:textId="77777777" w:rsidR="00037B5E" w:rsidRPr="00037B5E" w:rsidRDefault="00037B5E" w:rsidP="00C43D60">
            <w:pPr>
              <w:spacing w:line="240" w:lineRule="auto"/>
              <w:jc w:val="center"/>
              <w:rPr>
                <w:rFonts w:cs="Times New Roman"/>
                <w:sz w:val="16"/>
                <w:szCs w:val="16"/>
              </w:rPr>
            </w:pPr>
            <w:r w:rsidRPr="00037B5E">
              <w:rPr>
                <w:rFonts w:cs="Times New Roman"/>
                <w:sz w:val="16"/>
                <w:szCs w:val="16"/>
              </w:rPr>
              <w:t>HON</w:t>
            </w:r>
          </w:p>
        </w:tc>
        <w:tc>
          <w:tcPr>
            <w:tcW w:w="1414" w:type="dxa"/>
            <w:vAlign w:val="center"/>
          </w:tcPr>
          <w:p w14:paraId="7E905EE3" w14:textId="7FC3C077"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47</w:t>
            </w:r>
          </w:p>
        </w:tc>
        <w:tc>
          <w:tcPr>
            <w:tcW w:w="1235" w:type="dxa"/>
            <w:vAlign w:val="center"/>
          </w:tcPr>
          <w:p w14:paraId="03952D85" w14:textId="38A4BDED"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0.4</w:t>
            </w:r>
          </w:p>
        </w:tc>
        <w:tc>
          <w:tcPr>
            <w:tcW w:w="1085" w:type="dxa"/>
            <w:vAlign w:val="center"/>
          </w:tcPr>
          <w:p w14:paraId="0CFFEEF5" w14:textId="2316EF90"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-0.5</w:t>
            </w:r>
          </w:p>
        </w:tc>
        <w:tc>
          <w:tcPr>
            <w:tcW w:w="1258" w:type="dxa"/>
            <w:vAlign w:val="center"/>
          </w:tcPr>
          <w:p w14:paraId="517EE3DA" w14:textId="29EDC574"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54</w:t>
            </w:r>
          </w:p>
        </w:tc>
        <w:tc>
          <w:tcPr>
            <w:tcW w:w="1011" w:type="dxa"/>
            <w:vAlign w:val="center"/>
          </w:tcPr>
          <w:p w14:paraId="0BF7FA8A" w14:textId="45FB49EA"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1.5</w:t>
            </w:r>
          </w:p>
        </w:tc>
        <w:tc>
          <w:tcPr>
            <w:tcW w:w="1012" w:type="dxa"/>
            <w:vAlign w:val="center"/>
          </w:tcPr>
          <w:p w14:paraId="43533987" w14:textId="544F6894"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1.8</w:t>
            </w:r>
          </w:p>
        </w:tc>
      </w:tr>
      <w:tr w:rsidR="00037B5E" w:rsidRPr="00037B5E" w14:paraId="3137919C" w14:textId="77777777" w:rsidTr="00C43D6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3460EBB9" w14:textId="77777777" w:rsidR="00037B5E" w:rsidRPr="00037B5E" w:rsidRDefault="00037B5E" w:rsidP="00C43D60">
            <w:pPr>
              <w:spacing w:line="240" w:lineRule="auto"/>
              <w:jc w:val="center"/>
              <w:rPr>
                <w:rFonts w:cs="Times New Roman"/>
                <w:sz w:val="16"/>
                <w:szCs w:val="16"/>
              </w:rPr>
            </w:pPr>
            <w:r w:rsidRPr="00037B5E">
              <w:rPr>
                <w:rFonts w:cs="Times New Roman"/>
                <w:sz w:val="16"/>
                <w:szCs w:val="16"/>
              </w:rPr>
              <w:t>MAU</w:t>
            </w:r>
          </w:p>
        </w:tc>
        <w:tc>
          <w:tcPr>
            <w:tcW w:w="1414" w:type="dxa"/>
            <w:vAlign w:val="center"/>
          </w:tcPr>
          <w:p w14:paraId="053FDDAB" w14:textId="5CA1711B"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52</w:t>
            </w:r>
          </w:p>
        </w:tc>
        <w:tc>
          <w:tcPr>
            <w:tcW w:w="1235" w:type="dxa"/>
            <w:vAlign w:val="center"/>
          </w:tcPr>
          <w:p w14:paraId="7E27AB34" w14:textId="41F11F36"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-0.7</w:t>
            </w:r>
          </w:p>
        </w:tc>
        <w:tc>
          <w:tcPr>
            <w:tcW w:w="1085" w:type="dxa"/>
            <w:vAlign w:val="center"/>
          </w:tcPr>
          <w:p w14:paraId="52DFF209" w14:textId="52D8362D"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-1</w:t>
            </w:r>
            <w:r w:rsidR="00C43D60">
              <w:rPr>
                <w:rFonts w:cs="Times New Roman"/>
                <w:color w:val="000000"/>
                <w:sz w:val="16"/>
                <w:szCs w:val="16"/>
              </w:rPr>
              <w:t>.0</w:t>
            </w:r>
          </w:p>
        </w:tc>
        <w:tc>
          <w:tcPr>
            <w:tcW w:w="1258" w:type="dxa"/>
            <w:vAlign w:val="center"/>
          </w:tcPr>
          <w:p w14:paraId="74551EC1" w14:textId="6957BDD6"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57</w:t>
            </w:r>
          </w:p>
        </w:tc>
        <w:tc>
          <w:tcPr>
            <w:tcW w:w="1011" w:type="dxa"/>
            <w:vAlign w:val="center"/>
          </w:tcPr>
          <w:p w14:paraId="0089CA01" w14:textId="056BD60D"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0.7</w:t>
            </w:r>
          </w:p>
        </w:tc>
        <w:tc>
          <w:tcPr>
            <w:tcW w:w="1012" w:type="dxa"/>
            <w:vAlign w:val="center"/>
          </w:tcPr>
          <w:p w14:paraId="41172D74" w14:textId="14FF73DD"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2.2</w:t>
            </w:r>
          </w:p>
        </w:tc>
      </w:tr>
      <w:tr w:rsidR="00037B5E" w:rsidRPr="00037B5E" w14:paraId="0C03127D" w14:textId="77777777" w:rsidTr="00C43D60">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3BD9E424" w14:textId="77777777" w:rsidR="00037B5E" w:rsidRPr="00037B5E" w:rsidRDefault="00037B5E" w:rsidP="00C43D60">
            <w:pPr>
              <w:spacing w:line="240" w:lineRule="auto"/>
              <w:jc w:val="center"/>
              <w:rPr>
                <w:rFonts w:cs="Times New Roman"/>
                <w:sz w:val="16"/>
                <w:szCs w:val="16"/>
              </w:rPr>
            </w:pPr>
            <w:r w:rsidRPr="00037B5E">
              <w:rPr>
                <w:rFonts w:cs="Times New Roman"/>
                <w:sz w:val="16"/>
                <w:szCs w:val="16"/>
              </w:rPr>
              <w:t>POR</w:t>
            </w:r>
          </w:p>
        </w:tc>
        <w:tc>
          <w:tcPr>
            <w:tcW w:w="1414" w:type="dxa"/>
            <w:vAlign w:val="center"/>
          </w:tcPr>
          <w:p w14:paraId="31120415" w14:textId="5E2E938E"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49</w:t>
            </w:r>
          </w:p>
        </w:tc>
        <w:tc>
          <w:tcPr>
            <w:tcW w:w="1235" w:type="dxa"/>
            <w:vAlign w:val="center"/>
          </w:tcPr>
          <w:p w14:paraId="1B336CA7" w14:textId="75DA1F06"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1.6</w:t>
            </w:r>
          </w:p>
        </w:tc>
        <w:tc>
          <w:tcPr>
            <w:tcW w:w="1085" w:type="dxa"/>
            <w:vAlign w:val="center"/>
          </w:tcPr>
          <w:p w14:paraId="1EDC0009" w14:textId="4BE50D82"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1.8</w:t>
            </w:r>
          </w:p>
        </w:tc>
        <w:tc>
          <w:tcPr>
            <w:tcW w:w="1258" w:type="dxa"/>
            <w:vAlign w:val="center"/>
          </w:tcPr>
          <w:p w14:paraId="78FA2A0A" w14:textId="1952E4FE"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54</w:t>
            </w:r>
          </w:p>
        </w:tc>
        <w:tc>
          <w:tcPr>
            <w:tcW w:w="1011" w:type="dxa"/>
            <w:vAlign w:val="center"/>
          </w:tcPr>
          <w:p w14:paraId="302BBA7E" w14:textId="270C8F2C"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1.8</w:t>
            </w:r>
          </w:p>
        </w:tc>
        <w:tc>
          <w:tcPr>
            <w:tcW w:w="1012" w:type="dxa"/>
            <w:vAlign w:val="center"/>
          </w:tcPr>
          <w:p w14:paraId="189E4D2A" w14:textId="27DD5311"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2.3</w:t>
            </w:r>
          </w:p>
        </w:tc>
      </w:tr>
      <w:tr w:rsidR="00037B5E" w:rsidRPr="00037B5E" w14:paraId="723CCDC6" w14:textId="77777777" w:rsidTr="00C43D6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6CE8EACC" w14:textId="77777777" w:rsidR="00037B5E" w:rsidRPr="00037B5E" w:rsidRDefault="00037B5E" w:rsidP="00C43D60">
            <w:pPr>
              <w:spacing w:line="240" w:lineRule="auto"/>
              <w:jc w:val="center"/>
              <w:rPr>
                <w:rFonts w:cs="Times New Roman"/>
                <w:sz w:val="16"/>
                <w:szCs w:val="16"/>
              </w:rPr>
            </w:pPr>
            <w:r w:rsidRPr="00037B5E">
              <w:rPr>
                <w:rFonts w:cs="Times New Roman"/>
                <w:sz w:val="16"/>
                <w:szCs w:val="16"/>
              </w:rPr>
              <w:t>RAI</w:t>
            </w:r>
          </w:p>
        </w:tc>
        <w:tc>
          <w:tcPr>
            <w:tcW w:w="1414" w:type="dxa"/>
            <w:vAlign w:val="center"/>
          </w:tcPr>
          <w:p w14:paraId="3E848673" w14:textId="4A04CC23"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51</w:t>
            </w:r>
          </w:p>
        </w:tc>
        <w:tc>
          <w:tcPr>
            <w:tcW w:w="1235" w:type="dxa"/>
            <w:vAlign w:val="center"/>
          </w:tcPr>
          <w:p w14:paraId="7D26CACE" w14:textId="2D441676"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1.5</w:t>
            </w:r>
          </w:p>
        </w:tc>
        <w:tc>
          <w:tcPr>
            <w:tcW w:w="1085" w:type="dxa"/>
            <w:vAlign w:val="center"/>
          </w:tcPr>
          <w:p w14:paraId="543F49A7" w14:textId="281E655D"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-1.5</w:t>
            </w:r>
          </w:p>
        </w:tc>
        <w:tc>
          <w:tcPr>
            <w:tcW w:w="1258" w:type="dxa"/>
            <w:vAlign w:val="center"/>
          </w:tcPr>
          <w:p w14:paraId="1AF97F96" w14:textId="43546B49"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57</w:t>
            </w:r>
          </w:p>
        </w:tc>
        <w:tc>
          <w:tcPr>
            <w:tcW w:w="1011" w:type="dxa"/>
            <w:vAlign w:val="center"/>
          </w:tcPr>
          <w:p w14:paraId="70A050E4" w14:textId="70C882F9"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4.1</w:t>
            </w:r>
          </w:p>
        </w:tc>
        <w:tc>
          <w:tcPr>
            <w:tcW w:w="1012" w:type="dxa"/>
            <w:vAlign w:val="center"/>
          </w:tcPr>
          <w:p w14:paraId="514C2BE5" w14:textId="57557574"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3.3</w:t>
            </w:r>
          </w:p>
        </w:tc>
      </w:tr>
      <w:tr w:rsidR="00037B5E" w:rsidRPr="00037B5E" w14:paraId="07A9755A" w14:textId="77777777" w:rsidTr="00C43D60">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21AF201D" w14:textId="77777777" w:rsidR="00037B5E" w:rsidRPr="00037B5E" w:rsidRDefault="00037B5E" w:rsidP="00C43D60">
            <w:pPr>
              <w:spacing w:line="240" w:lineRule="auto"/>
              <w:jc w:val="center"/>
              <w:rPr>
                <w:rFonts w:cs="Times New Roman"/>
                <w:sz w:val="16"/>
                <w:szCs w:val="16"/>
              </w:rPr>
            </w:pPr>
            <w:r w:rsidRPr="00037B5E">
              <w:rPr>
                <w:rFonts w:cs="Times New Roman"/>
                <w:sz w:val="16"/>
                <w:szCs w:val="16"/>
              </w:rPr>
              <w:t>SAN</w:t>
            </w:r>
          </w:p>
        </w:tc>
        <w:tc>
          <w:tcPr>
            <w:tcW w:w="1414" w:type="dxa"/>
            <w:vAlign w:val="center"/>
          </w:tcPr>
          <w:p w14:paraId="566FC3B0" w14:textId="007844AD"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48</w:t>
            </w:r>
          </w:p>
        </w:tc>
        <w:tc>
          <w:tcPr>
            <w:tcW w:w="1235" w:type="dxa"/>
            <w:vAlign w:val="center"/>
          </w:tcPr>
          <w:p w14:paraId="18B317E6" w14:textId="312378FA"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1.7</w:t>
            </w:r>
          </w:p>
        </w:tc>
        <w:tc>
          <w:tcPr>
            <w:tcW w:w="1085" w:type="dxa"/>
            <w:vAlign w:val="center"/>
          </w:tcPr>
          <w:p w14:paraId="29A887AE" w14:textId="38E4E0A5"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1.5</w:t>
            </w:r>
          </w:p>
        </w:tc>
        <w:tc>
          <w:tcPr>
            <w:tcW w:w="1258" w:type="dxa"/>
            <w:vAlign w:val="center"/>
          </w:tcPr>
          <w:p w14:paraId="4169EFBC" w14:textId="133685E8"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55</w:t>
            </w:r>
          </w:p>
        </w:tc>
        <w:tc>
          <w:tcPr>
            <w:tcW w:w="1011" w:type="dxa"/>
            <w:vAlign w:val="center"/>
          </w:tcPr>
          <w:p w14:paraId="181ECAC1" w14:textId="0487CBAB"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1.9</w:t>
            </w:r>
          </w:p>
        </w:tc>
        <w:tc>
          <w:tcPr>
            <w:tcW w:w="1012" w:type="dxa"/>
            <w:vAlign w:val="center"/>
          </w:tcPr>
          <w:p w14:paraId="7054FE37" w14:textId="689D2181"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3.7</w:t>
            </w:r>
          </w:p>
        </w:tc>
      </w:tr>
      <w:tr w:rsidR="00037B5E" w:rsidRPr="00037B5E" w14:paraId="549A893B" w14:textId="77777777" w:rsidTr="00C43D6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tcBorders>
              <w:bottom w:val="single" w:sz="4" w:space="0" w:color="auto"/>
            </w:tcBorders>
            <w:vAlign w:val="center"/>
          </w:tcPr>
          <w:p w14:paraId="0B07AA6E" w14:textId="77777777" w:rsidR="00037B5E" w:rsidRPr="00037B5E" w:rsidRDefault="00037B5E" w:rsidP="00C43D60">
            <w:pPr>
              <w:spacing w:line="240" w:lineRule="auto"/>
              <w:jc w:val="center"/>
              <w:rPr>
                <w:rFonts w:cs="Times New Roman"/>
                <w:sz w:val="16"/>
                <w:szCs w:val="16"/>
              </w:rPr>
            </w:pPr>
            <w:r w:rsidRPr="00037B5E">
              <w:rPr>
                <w:rFonts w:cs="Times New Roman"/>
                <w:sz w:val="16"/>
                <w:szCs w:val="16"/>
              </w:rPr>
              <w:t>TIF</w:t>
            </w:r>
          </w:p>
        </w:tc>
        <w:tc>
          <w:tcPr>
            <w:tcW w:w="1414" w:type="dxa"/>
            <w:tcBorders>
              <w:bottom w:val="single" w:sz="4" w:space="0" w:color="auto"/>
            </w:tcBorders>
            <w:vAlign w:val="center"/>
          </w:tcPr>
          <w:p w14:paraId="4022024C" w14:textId="563F53FF"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51</w:t>
            </w:r>
          </w:p>
        </w:tc>
        <w:tc>
          <w:tcPr>
            <w:tcW w:w="1235" w:type="dxa"/>
            <w:tcBorders>
              <w:bottom w:val="single" w:sz="4" w:space="0" w:color="auto"/>
            </w:tcBorders>
            <w:vAlign w:val="center"/>
          </w:tcPr>
          <w:p w14:paraId="73BEEA42" w14:textId="3F8ADAE8"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-0.7</w:t>
            </w:r>
          </w:p>
        </w:tc>
        <w:tc>
          <w:tcPr>
            <w:tcW w:w="1085" w:type="dxa"/>
            <w:tcBorders>
              <w:bottom w:val="single" w:sz="4" w:space="0" w:color="auto"/>
            </w:tcBorders>
            <w:vAlign w:val="center"/>
          </w:tcPr>
          <w:p w14:paraId="7E2DDF35" w14:textId="4CFCBC44"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-2.2</w:t>
            </w:r>
          </w:p>
        </w:tc>
        <w:tc>
          <w:tcPr>
            <w:tcW w:w="1258" w:type="dxa"/>
            <w:tcBorders>
              <w:bottom w:val="single" w:sz="4" w:space="0" w:color="auto"/>
            </w:tcBorders>
            <w:vAlign w:val="center"/>
          </w:tcPr>
          <w:p w14:paraId="40D8F08F" w14:textId="15887523"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58</w:t>
            </w:r>
          </w:p>
        </w:tc>
        <w:tc>
          <w:tcPr>
            <w:tcW w:w="1011" w:type="dxa"/>
            <w:tcBorders>
              <w:bottom w:val="single" w:sz="4" w:space="0" w:color="auto"/>
            </w:tcBorders>
            <w:vAlign w:val="center"/>
          </w:tcPr>
          <w:p w14:paraId="5D9184F9" w14:textId="6F1B4F84"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1.7</w:t>
            </w:r>
          </w:p>
        </w:tc>
        <w:tc>
          <w:tcPr>
            <w:tcW w:w="1012" w:type="dxa"/>
            <w:tcBorders>
              <w:bottom w:val="single" w:sz="4" w:space="0" w:color="auto"/>
            </w:tcBorders>
            <w:vAlign w:val="center"/>
          </w:tcPr>
          <w:p w14:paraId="32A73B4B" w14:textId="05C66C40"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1.2</w:t>
            </w:r>
          </w:p>
        </w:tc>
      </w:tr>
      <w:tr w:rsidR="00037B5E" w:rsidRPr="00037B5E" w14:paraId="4B3F5BC5" w14:textId="77777777" w:rsidTr="00C43D60">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tcBorders>
              <w:top w:val="single" w:sz="4" w:space="0" w:color="auto"/>
              <w:bottom w:val="single" w:sz="4" w:space="0" w:color="7F7F7F" w:themeColor="text1" w:themeTint="80"/>
            </w:tcBorders>
            <w:vAlign w:val="center"/>
          </w:tcPr>
          <w:p w14:paraId="478F863B" w14:textId="77777777" w:rsidR="00037B5E" w:rsidRPr="00037B5E" w:rsidRDefault="00037B5E" w:rsidP="00C43D60">
            <w:pPr>
              <w:spacing w:line="240" w:lineRule="auto"/>
              <w:jc w:val="center"/>
              <w:rPr>
                <w:rFonts w:cs="Times New Roman"/>
                <w:sz w:val="16"/>
                <w:szCs w:val="16"/>
              </w:rPr>
            </w:pPr>
            <w:r w:rsidRPr="00037B5E">
              <w:rPr>
                <w:rFonts w:cs="Times New Roman"/>
                <w:sz w:val="16"/>
                <w:szCs w:val="16"/>
              </w:rPr>
              <w:t>Average</w:t>
            </w:r>
          </w:p>
        </w:tc>
        <w:tc>
          <w:tcPr>
            <w:tcW w:w="1414" w:type="dxa"/>
            <w:tcBorders>
              <w:top w:val="single" w:sz="4" w:space="0" w:color="auto"/>
              <w:bottom w:val="single" w:sz="4" w:space="0" w:color="7F7F7F" w:themeColor="text1" w:themeTint="80"/>
            </w:tcBorders>
            <w:vAlign w:val="center"/>
          </w:tcPr>
          <w:p w14:paraId="681D718E" w14:textId="1F7EA90A" w:rsidR="00037B5E" w:rsidRPr="00037B5E" w:rsidRDefault="00C43D60"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50</w:t>
            </w:r>
          </w:p>
        </w:tc>
        <w:tc>
          <w:tcPr>
            <w:tcW w:w="1235" w:type="dxa"/>
            <w:tcBorders>
              <w:top w:val="single" w:sz="4" w:space="0" w:color="auto"/>
              <w:bottom w:val="single" w:sz="4" w:space="0" w:color="7F7F7F" w:themeColor="text1" w:themeTint="80"/>
            </w:tcBorders>
            <w:vAlign w:val="center"/>
          </w:tcPr>
          <w:p w14:paraId="4C9A328C" w14:textId="1E937578"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0.9</w:t>
            </w:r>
          </w:p>
        </w:tc>
        <w:tc>
          <w:tcPr>
            <w:tcW w:w="1085" w:type="dxa"/>
            <w:tcBorders>
              <w:top w:val="single" w:sz="4" w:space="0" w:color="auto"/>
              <w:bottom w:val="single" w:sz="4" w:space="0" w:color="7F7F7F" w:themeColor="text1" w:themeTint="80"/>
            </w:tcBorders>
            <w:vAlign w:val="center"/>
          </w:tcPr>
          <w:p w14:paraId="5291F628" w14:textId="1A0E3E9C"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0.0</w:t>
            </w:r>
          </w:p>
        </w:tc>
        <w:tc>
          <w:tcPr>
            <w:tcW w:w="1258" w:type="dxa"/>
            <w:tcBorders>
              <w:top w:val="single" w:sz="4" w:space="0" w:color="auto"/>
              <w:bottom w:val="single" w:sz="4" w:space="0" w:color="7F7F7F" w:themeColor="text1" w:themeTint="80"/>
            </w:tcBorders>
            <w:vAlign w:val="center"/>
          </w:tcPr>
          <w:p w14:paraId="449D3971" w14:textId="5F1FFA8D" w:rsidR="00037B5E" w:rsidRPr="00037B5E" w:rsidRDefault="00C43D60"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56</w:t>
            </w:r>
          </w:p>
        </w:tc>
        <w:tc>
          <w:tcPr>
            <w:tcW w:w="1011" w:type="dxa"/>
            <w:tcBorders>
              <w:top w:val="single" w:sz="4" w:space="0" w:color="auto"/>
              <w:bottom w:val="single" w:sz="4" w:space="0" w:color="7F7F7F" w:themeColor="text1" w:themeTint="80"/>
            </w:tcBorders>
            <w:vAlign w:val="center"/>
          </w:tcPr>
          <w:p w14:paraId="5EB186E1" w14:textId="6D66F1B2"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1.8</w:t>
            </w:r>
          </w:p>
        </w:tc>
        <w:tc>
          <w:tcPr>
            <w:tcW w:w="1012" w:type="dxa"/>
            <w:tcBorders>
              <w:top w:val="single" w:sz="4" w:space="0" w:color="auto"/>
              <w:bottom w:val="single" w:sz="4" w:space="0" w:color="7F7F7F" w:themeColor="text1" w:themeTint="80"/>
            </w:tcBorders>
            <w:vAlign w:val="center"/>
          </w:tcPr>
          <w:p w14:paraId="5B9055FB" w14:textId="7CE100F1"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2.4</w:t>
            </w:r>
          </w:p>
        </w:tc>
      </w:tr>
    </w:tbl>
    <w:p w14:paraId="499E67E7" w14:textId="072189AF" w:rsidR="00037B5E" w:rsidRDefault="00037B5E" w:rsidP="00552A1A"/>
    <w:p w14:paraId="5410B4EB" w14:textId="609D10F3" w:rsidR="00037B5E" w:rsidRPr="005642F2" w:rsidRDefault="00037B5E" w:rsidP="00037B5E">
      <w:pPr>
        <w:pStyle w:val="Heading3"/>
      </w:pPr>
      <w:r w:rsidRPr="005642F2">
        <w:t>Summer</w:t>
      </w:r>
      <w:r w:rsidR="0086141C" w:rsidRPr="005642F2">
        <w:t>/Fall</w:t>
      </w:r>
      <w:r w:rsidRPr="005642F2">
        <w:t xml:space="preserve"> </w:t>
      </w:r>
      <w:r w:rsidR="00A3285A" w:rsidRPr="005642F2">
        <w:t>(Aug-</w:t>
      </w:r>
      <w:r w:rsidR="0086141C" w:rsidRPr="005642F2">
        <w:t>Nov</w:t>
      </w:r>
      <w:r w:rsidR="00A3285A" w:rsidRPr="005642F2">
        <w:t>) P dynamics in WLEB streams and rivers</w:t>
      </w:r>
    </w:p>
    <w:p w14:paraId="5162D3F9" w14:textId="77777777" w:rsidR="00AF524C" w:rsidRDefault="005642F2" w:rsidP="00ED74D5">
      <w:pPr>
        <w:ind w:firstLine="720"/>
      </w:pPr>
      <w:r>
        <w:t xml:space="preserve">The P fluxes released during the </w:t>
      </w:r>
      <w:r w:rsidR="00AF524C">
        <w:t>summer season ranged from</w:t>
      </w:r>
      <w:r>
        <w:t xml:space="preserve"> </w:t>
      </w:r>
      <w:r w:rsidR="00AF524C">
        <w:t>2 to 6</w:t>
      </w:r>
      <w:r>
        <w:t xml:space="preserve">% of the annual SRP FN flux and </w:t>
      </w:r>
      <w:r w:rsidR="00AF524C">
        <w:t>1</w:t>
      </w:r>
      <w:r>
        <w:t xml:space="preserve"> to </w:t>
      </w:r>
      <w:r w:rsidR="00AF524C">
        <w:t>3</w:t>
      </w:r>
      <w:r>
        <w:t xml:space="preserve">% of the annual TP flux (Table </w:t>
      </w:r>
      <w:r w:rsidR="00AF524C">
        <w:t>7</w:t>
      </w:r>
      <w:r>
        <w:t>).</w:t>
      </w:r>
      <w:r w:rsidR="00AF524C">
        <w:t xml:space="preserve"> Thus, the summer season encompasses the lowest P delivery from the WLEB.</w:t>
      </w:r>
      <w:r>
        <w:t xml:space="preserve"> From 2008-2022, trends in FN flux were upward </w:t>
      </w:r>
      <w:r w:rsidR="00AF524C">
        <w:t>at</w:t>
      </w:r>
      <w:r>
        <w:t xml:space="preserve"> every site for both SRP and TP</w:t>
      </w:r>
      <w:r w:rsidR="00AF524C">
        <w:t xml:space="preserve">. Furthermore, the percent changes during the summer season had the greatest magnitude of </w:t>
      </w:r>
    </w:p>
    <w:p w14:paraId="6578BC36" w14:textId="56493428" w:rsidR="00C43D60" w:rsidRPr="00C43D60" w:rsidRDefault="005642F2" w:rsidP="00ED74D5">
      <w:pPr>
        <w:ind w:firstLine="720"/>
      </w:pPr>
      <w:r>
        <w:t>Upward trends were slightly greater for TP than SRP (Table 4). Relative to the whole period, fall SRP FN flux upwards trends in recent years (from 2015-2022) have either weakened or become downward trends at all sites except for Sandusky. This widespread weakening of upward trends or even switches to downward trends indicates that current management practices may be reducing SRP losses during the fall seasons. However, this is not the case for fall TP FN fluxes, where three of the sites showed increasing upward trends, one site saw no difference in its upward trend, and only three sites showed weakening upward trends or switches to downward trends. These trends indicate that fall TP losses have been increasing in the basin.</w:t>
      </w:r>
    </w:p>
    <w:p w14:paraId="5B888251" w14:textId="037235E8" w:rsidR="00C43D60" w:rsidRPr="00C43D60" w:rsidRDefault="00C43D60" w:rsidP="00C43D60">
      <w:pPr>
        <w:pStyle w:val="Caption"/>
      </w:pPr>
      <w:r>
        <w:t>Table 7: Overview of SRP and TP FN fluxes during the summer season. The summer season lasted from 1 Aug through 30 Sep. FN flux trends are reported as the rate of percent change (%) over the period of interest. The percentage of annual FN Flux is the mean percentage of the FN flux released during the summer season from 2008-2022.</w:t>
      </w:r>
    </w:p>
    <w:tbl>
      <w:tblPr>
        <w:tblStyle w:val="TableGrid"/>
        <w:tblW w:w="0" w:type="auto"/>
        <w:tblLook w:val="04A0" w:firstRow="1" w:lastRow="0" w:firstColumn="1" w:lastColumn="0" w:noHBand="0" w:noVBand="1"/>
      </w:tblPr>
      <w:tblGrid>
        <w:gridCol w:w="1341"/>
        <w:gridCol w:w="1559"/>
        <w:gridCol w:w="1361"/>
        <w:gridCol w:w="1350"/>
        <w:gridCol w:w="1231"/>
        <w:gridCol w:w="1115"/>
        <w:gridCol w:w="1115"/>
      </w:tblGrid>
      <w:tr w:rsidR="00037B5E" w:rsidRPr="00A3285A" w14:paraId="5798D39C" w14:textId="77777777" w:rsidTr="00A3285A">
        <w:trPr>
          <w:trHeight w:val="236"/>
        </w:trPr>
        <w:tc>
          <w:tcPr>
            <w:tcW w:w="1341" w:type="dxa"/>
            <w:vMerge w:val="restart"/>
          </w:tcPr>
          <w:p w14:paraId="1FF96E8B" w14:textId="77777777" w:rsidR="00037B5E" w:rsidRPr="00A3285A" w:rsidRDefault="00037B5E" w:rsidP="00A3285A">
            <w:pPr>
              <w:spacing w:line="240" w:lineRule="auto"/>
              <w:jc w:val="center"/>
              <w:rPr>
                <w:rFonts w:cs="Times New Roman"/>
                <w:sz w:val="16"/>
                <w:szCs w:val="16"/>
              </w:rPr>
            </w:pPr>
            <w:r w:rsidRPr="00A3285A">
              <w:rPr>
                <w:rFonts w:cs="Times New Roman"/>
                <w:sz w:val="16"/>
                <w:szCs w:val="16"/>
              </w:rPr>
              <w:lastRenderedPageBreak/>
              <w:t>Sites</w:t>
            </w:r>
          </w:p>
        </w:tc>
        <w:tc>
          <w:tcPr>
            <w:tcW w:w="4270" w:type="dxa"/>
            <w:gridSpan w:val="3"/>
          </w:tcPr>
          <w:p w14:paraId="3F1295CD" w14:textId="77777777" w:rsidR="00037B5E" w:rsidRPr="00A3285A" w:rsidRDefault="00037B5E" w:rsidP="00A3285A">
            <w:pPr>
              <w:spacing w:line="240" w:lineRule="auto"/>
              <w:jc w:val="center"/>
              <w:rPr>
                <w:rFonts w:cs="Times New Roman"/>
                <w:sz w:val="16"/>
                <w:szCs w:val="16"/>
              </w:rPr>
            </w:pPr>
            <w:r w:rsidRPr="00A3285A">
              <w:rPr>
                <w:rFonts w:cs="Times New Roman"/>
                <w:sz w:val="16"/>
                <w:szCs w:val="16"/>
              </w:rPr>
              <w:t>SRP</w:t>
            </w:r>
          </w:p>
        </w:tc>
        <w:tc>
          <w:tcPr>
            <w:tcW w:w="3461" w:type="dxa"/>
            <w:gridSpan w:val="3"/>
          </w:tcPr>
          <w:p w14:paraId="4709A201" w14:textId="77777777" w:rsidR="00037B5E" w:rsidRPr="00A3285A" w:rsidRDefault="00037B5E" w:rsidP="00A3285A">
            <w:pPr>
              <w:spacing w:line="240" w:lineRule="auto"/>
              <w:jc w:val="center"/>
              <w:rPr>
                <w:rFonts w:cs="Times New Roman"/>
                <w:sz w:val="16"/>
                <w:szCs w:val="16"/>
              </w:rPr>
            </w:pPr>
            <w:r w:rsidRPr="00A3285A">
              <w:rPr>
                <w:rFonts w:cs="Times New Roman"/>
                <w:sz w:val="16"/>
                <w:szCs w:val="16"/>
              </w:rPr>
              <w:t>TP</w:t>
            </w:r>
          </w:p>
        </w:tc>
      </w:tr>
      <w:tr w:rsidR="00037B5E" w:rsidRPr="00A3285A" w14:paraId="68EC89BB" w14:textId="77777777" w:rsidTr="00A3285A">
        <w:trPr>
          <w:trHeight w:val="460"/>
        </w:trPr>
        <w:tc>
          <w:tcPr>
            <w:tcW w:w="1341" w:type="dxa"/>
            <w:vMerge/>
          </w:tcPr>
          <w:p w14:paraId="1CFAD9F2" w14:textId="77777777" w:rsidR="00037B5E" w:rsidRPr="00A3285A" w:rsidRDefault="00037B5E" w:rsidP="00A3285A">
            <w:pPr>
              <w:spacing w:line="240" w:lineRule="auto"/>
              <w:jc w:val="center"/>
              <w:rPr>
                <w:rFonts w:cs="Times New Roman"/>
                <w:sz w:val="16"/>
                <w:szCs w:val="16"/>
              </w:rPr>
            </w:pPr>
          </w:p>
        </w:tc>
        <w:tc>
          <w:tcPr>
            <w:tcW w:w="1559" w:type="dxa"/>
            <w:vMerge w:val="restart"/>
          </w:tcPr>
          <w:p w14:paraId="5E87DD52" w14:textId="77777777" w:rsidR="00037B5E" w:rsidRPr="00A3285A" w:rsidRDefault="00037B5E" w:rsidP="00A3285A">
            <w:pPr>
              <w:spacing w:line="240" w:lineRule="auto"/>
              <w:jc w:val="center"/>
              <w:rPr>
                <w:rFonts w:cs="Times New Roman"/>
                <w:sz w:val="16"/>
                <w:szCs w:val="16"/>
              </w:rPr>
            </w:pPr>
            <w:r w:rsidRPr="00A3285A">
              <w:rPr>
                <w:rFonts w:cs="Times New Roman"/>
                <w:sz w:val="16"/>
                <w:szCs w:val="16"/>
              </w:rPr>
              <w:t>Percentage of annual FN trend</w:t>
            </w:r>
          </w:p>
        </w:tc>
        <w:tc>
          <w:tcPr>
            <w:tcW w:w="2711" w:type="dxa"/>
            <w:gridSpan w:val="2"/>
          </w:tcPr>
          <w:p w14:paraId="1D428CC6" w14:textId="77777777" w:rsidR="00037B5E" w:rsidRPr="00A3285A" w:rsidRDefault="00037B5E" w:rsidP="00A3285A">
            <w:pPr>
              <w:spacing w:line="240" w:lineRule="auto"/>
              <w:jc w:val="center"/>
              <w:rPr>
                <w:rFonts w:cs="Times New Roman"/>
                <w:sz w:val="16"/>
                <w:szCs w:val="16"/>
              </w:rPr>
            </w:pPr>
            <w:r w:rsidRPr="00A3285A">
              <w:rPr>
                <w:rFonts w:cs="Times New Roman"/>
                <w:sz w:val="16"/>
                <w:szCs w:val="16"/>
              </w:rPr>
              <w:t>FN flux trends</w:t>
            </w:r>
          </w:p>
        </w:tc>
        <w:tc>
          <w:tcPr>
            <w:tcW w:w="1231" w:type="dxa"/>
            <w:vMerge w:val="restart"/>
          </w:tcPr>
          <w:p w14:paraId="1D1F56AF" w14:textId="77777777" w:rsidR="00037B5E" w:rsidRPr="00A3285A" w:rsidRDefault="00037B5E" w:rsidP="00A3285A">
            <w:pPr>
              <w:spacing w:line="240" w:lineRule="auto"/>
              <w:jc w:val="center"/>
              <w:rPr>
                <w:rFonts w:cs="Times New Roman"/>
                <w:sz w:val="16"/>
                <w:szCs w:val="16"/>
              </w:rPr>
            </w:pPr>
            <w:r w:rsidRPr="00A3285A">
              <w:rPr>
                <w:rFonts w:cs="Times New Roman"/>
                <w:sz w:val="16"/>
                <w:szCs w:val="16"/>
              </w:rPr>
              <w:t>Percentage of annual FN trend</w:t>
            </w:r>
          </w:p>
        </w:tc>
        <w:tc>
          <w:tcPr>
            <w:tcW w:w="2230" w:type="dxa"/>
            <w:gridSpan w:val="2"/>
          </w:tcPr>
          <w:p w14:paraId="564D2761" w14:textId="77777777" w:rsidR="00037B5E" w:rsidRPr="00A3285A" w:rsidRDefault="00037B5E" w:rsidP="00A3285A">
            <w:pPr>
              <w:spacing w:line="240" w:lineRule="auto"/>
              <w:jc w:val="center"/>
              <w:rPr>
                <w:rFonts w:cs="Times New Roman"/>
                <w:sz w:val="16"/>
                <w:szCs w:val="16"/>
              </w:rPr>
            </w:pPr>
            <w:r w:rsidRPr="00A3285A">
              <w:rPr>
                <w:rFonts w:cs="Times New Roman"/>
                <w:sz w:val="16"/>
                <w:szCs w:val="16"/>
              </w:rPr>
              <w:t>FN flux trends</w:t>
            </w:r>
          </w:p>
        </w:tc>
      </w:tr>
      <w:tr w:rsidR="00037B5E" w:rsidRPr="00A3285A" w14:paraId="51E53F01" w14:textId="77777777" w:rsidTr="00A3285A">
        <w:trPr>
          <w:trHeight w:val="222"/>
        </w:trPr>
        <w:tc>
          <w:tcPr>
            <w:tcW w:w="1341" w:type="dxa"/>
            <w:vMerge/>
          </w:tcPr>
          <w:p w14:paraId="556CAE70" w14:textId="77777777" w:rsidR="00037B5E" w:rsidRPr="00A3285A" w:rsidRDefault="00037B5E" w:rsidP="00A3285A">
            <w:pPr>
              <w:spacing w:line="240" w:lineRule="auto"/>
              <w:jc w:val="center"/>
              <w:rPr>
                <w:rFonts w:cs="Times New Roman"/>
                <w:sz w:val="16"/>
                <w:szCs w:val="16"/>
              </w:rPr>
            </w:pPr>
          </w:p>
        </w:tc>
        <w:tc>
          <w:tcPr>
            <w:tcW w:w="1559" w:type="dxa"/>
            <w:vMerge/>
          </w:tcPr>
          <w:p w14:paraId="456CE0EB" w14:textId="77777777" w:rsidR="00037B5E" w:rsidRPr="00A3285A" w:rsidRDefault="00037B5E" w:rsidP="00A3285A">
            <w:pPr>
              <w:spacing w:line="240" w:lineRule="auto"/>
              <w:jc w:val="center"/>
              <w:rPr>
                <w:rFonts w:cs="Times New Roman"/>
                <w:sz w:val="16"/>
                <w:szCs w:val="16"/>
              </w:rPr>
            </w:pPr>
          </w:p>
        </w:tc>
        <w:tc>
          <w:tcPr>
            <w:tcW w:w="1361" w:type="dxa"/>
          </w:tcPr>
          <w:p w14:paraId="7CFD763A" w14:textId="77777777" w:rsidR="00037B5E" w:rsidRPr="00A3285A" w:rsidRDefault="00037B5E" w:rsidP="00A3285A">
            <w:pPr>
              <w:spacing w:line="240" w:lineRule="auto"/>
              <w:jc w:val="center"/>
              <w:rPr>
                <w:rFonts w:cs="Times New Roman"/>
                <w:sz w:val="16"/>
                <w:szCs w:val="16"/>
              </w:rPr>
            </w:pPr>
            <w:r w:rsidRPr="00A3285A">
              <w:rPr>
                <w:rFonts w:cs="Times New Roman"/>
                <w:sz w:val="16"/>
                <w:szCs w:val="16"/>
              </w:rPr>
              <w:t>2008-2022</w:t>
            </w:r>
          </w:p>
        </w:tc>
        <w:tc>
          <w:tcPr>
            <w:tcW w:w="1350" w:type="dxa"/>
          </w:tcPr>
          <w:p w14:paraId="22AD8DA0" w14:textId="77777777" w:rsidR="00037B5E" w:rsidRPr="00A3285A" w:rsidRDefault="00037B5E" w:rsidP="00A3285A">
            <w:pPr>
              <w:spacing w:line="240" w:lineRule="auto"/>
              <w:jc w:val="center"/>
              <w:rPr>
                <w:rFonts w:cs="Times New Roman"/>
                <w:sz w:val="16"/>
                <w:szCs w:val="16"/>
              </w:rPr>
            </w:pPr>
            <w:r w:rsidRPr="00A3285A">
              <w:rPr>
                <w:rFonts w:cs="Times New Roman"/>
                <w:sz w:val="16"/>
                <w:szCs w:val="16"/>
              </w:rPr>
              <w:t>2015-2022</w:t>
            </w:r>
          </w:p>
        </w:tc>
        <w:tc>
          <w:tcPr>
            <w:tcW w:w="1231" w:type="dxa"/>
            <w:vMerge/>
          </w:tcPr>
          <w:p w14:paraId="771F0505" w14:textId="77777777" w:rsidR="00037B5E" w:rsidRPr="00A3285A" w:rsidRDefault="00037B5E" w:rsidP="00A3285A">
            <w:pPr>
              <w:spacing w:line="240" w:lineRule="auto"/>
              <w:jc w:val="center"/>
              <w:rPr>
                <w:rFonts w:cs="Times New Roman"/>
                <w:sz w:val="16"/>
                <w:szCs w:val="16"/>
              </w:rPr>
            </w:pPr>
          </w:p>
        </w:tc>
        <w:tc>
          <w:tcPr>
            <w:tcW w:w="1115" w:type="dxa"/>
          </w:tcPr>
          <w:p w14:paraId="7C107F1C" w14:textId="77777777" w:rsidR="00037B5E" w:rsidRPr="00A3285A" w:rsidRDefault="00037B5E" w:rsidP="00A3285A">
            <w:pPr>
              <w:spacing w:line="240" w:lineRule="auto"/>
              <w:jc w:val="center"/>
              <w:rPr>
                <w:rFonts w:cs="Times New Roman"/>
                <w:sz w:val="16"/>
                <w:szCs w:val="16"/>
              </w:rPr>
            </w:pPr>
            <w:r w:rsidRPr="00A3285A">
              <w:rPr>
                <w:rFonts w:cs="Times New Roman"/>
                <w:sz w:val="16"/>
                <w:szCs w:val="16"/>
              </w:rPr>
              <w:t>2008-2022</w:t>
            </w:r>
          </w:p>
        </w:tc>
        <w:tc>
          <w:tcPr>
            <w:tcW w:w="1115" w:type="dxa"/>
          </w:tcPr>
          <w:p w14:paraId="1FE93D66" w14:textId="77777777" w:rsidR="00037B5E" w:rsidRPr="00A3285A" w:rsidRDefault="00037B5E" w:rsidP="00A3285A">
            <w:pPr>
              <w:spacing w:line="240" w:lineRule="auto"/>
              <w:jc w:val="center"/>
              <w:rPr>
                <w:rFonts w:cs="Times New Roman"/>
                <w:sz w:val="16"/>
                <w:szCs w:val="16"/>
              </w:rPr>
            </w:pPr>
            <w:r w:rsidRPr="00A3285A">
              <w:rPr>
                <w:rFonts w:cs="Times New Roman"/>
                <w:sz w:val="16"/>
                <w:szCs w:val="16"/>
              </w:rPr>
              <w:t>2015-2022</w:t>
            </w:r>
          </w:p>
        </w:tc>
      </w:tr>
      <w:tr w:rsidR="00037B5E" w:rsidRPr="00A3285A" w14:paraId="267B5238" w14:textId="77777777" w:rsidTr="00A3285A">
        <w:trPr>
          <w:trHeight w:val="236"/>
        </w:trPr>
        <w:tc>
          <w:tcPr>
            <w:tcW w:w="1341" w:type="dxa"/>
          </w:tcPr>
          <w:p w14:paraId="62AEF81B" w14:textId="77777777" w:rsidR="00037B5E" w:rsidRPr="00A3285A" w:rsidRDefault="00037B5E" w:rsidP="00A3285A">
            <w:pPr>
              <w:spacing w:line="240" w:lineRule="auto"/>
              <w:jc w:val="center"/>
              <w:rPr>
                <w:rFonts w:cs="Times New Roman"/>
                <w:sz w:val="16"/>
                <w:szCs w:val="16"/>
              </w:rPr>
            </w:pPr>
            <w:r w:rsidRPr="00A3285A">
              <w:rPr>
                <w:rFonts w:cs="Times New Roman"/>
                <w:sz w:val="16"/>
                <w:szCs w:val="16"/>
              </w:rPr>
              <w:t>BLA</w:t>
            </w:r>
          </w:p>
        </w:tc>
        <w:tc>
          <w:tcPr>
            <w:tcW w:w="1559" w:type="dxa"/>
          </w:tcPr>
          <w:p w14:paraId="6D710F7A" w14:textId="04A51CA8" w:rsidR="00037B5E" w:rsidRPr="00A3285A" w:rsidRDefault="00A3285A" w:rsidP="00A3285A">
            <w:pPr>
              <w:spacing w:line="240" w:lineRule="auto"/>
              <w:jc w:val="center"/>
              <w:rPr>
                <w:rFonts w:cs="Times New Roman"/>
                <w:color w:val="000000"/>
                <w:sz w:val="16"/>
                <w:szCs w:val="16"/>
              </w:rPr>
            </w:pPr>
            <w:r w:rsidRPr="00A3285A">
              <w:rPr>
                <w:rFonts w:cs="Times New Roman"/>
                <w:color w:val="000000"/>
                <w:sz w:val="16"/>
                <w:szCs w:val="16"/>
              </w:rPr>
              <w:t>6</w:t>
            </w:r>
          </w:p>
        </w:tc>
        <w:tc>
          <w:tcPr>
            <w:tcW w:w="1361" w:type="dxa"/>
          </w:tcPr>
          <w:p w14:paraId="256BBC33" w14:textId="13333046" w:rsidR="00037B5E" w:rsidRPr="00A3285A" w:rsidRDefault="00037B5E" w:rsidP="00A3285A">
            <w:pPr>
              <w:spacing w:line="240" w:lineRule="auto"/>
              <w:jc w:val="center"/>
              <w:rPr>
                <w:rFonts w:cs="Times New Roman"/>
                <w:sz w:val="16"/>
                <w:szCs w:val="16"/>
              </w:rPr>
            </w:pPr>
            <w:r w:rsidRPr="00A3285A">
              <w:rPr>
                <w:rFonts w:cs="Times New Roman"/>
                <w:color w:val="000000"/>
                <w:sz w:val="16"/>
                <w:szCs w:val="16"/>
              </w:rPr>
              <w:t>4</w:t>
            </w:r>
          </w:p>
        </w:tc>
        <w:tc>
          <w:tcPr>
            <w:tcW w:w="1350" w:type="dxa"/>
          </w:tcPr>
          <w:p w14:paraId="311FB430" w14:textId="11D85065" w:rsidR="00037B5E" w:rsidRPr="00A3285A" w:rsidRDefault="00037B5E" w:rsidP="00A3285A">
            <w:pPr>
              <w:spacing w:line="240" w:lineRule="auto"/>
              <w:jc w:val="center"/>
              <w:rPr>
                <w:rFonts w:cs="Times New Roman"/>
                <w:sz w:val="16"/>
                <w:szCs w:val="16"/>
              </w:rPr>
            </w:pPr>
            <w:r w:rsidRPr="00A3285A">
              <w:rPr>
                <w:rFonts w:cs="Times New Roman"/>
                <w:color w:val="000000"/>
                <w:sz w:val="16"/>
                <w:szCs w:val="16"/>
              </w:rPr>
              <w:t>1.8</w:t>
            </w:r>
          </w:p>
        </w:tc>
        <w:tc>
          <w:tcPr>
            <w:tcW w:w="1231" w:type="dxa"/>
          </w:tcPr>
          <w:p w14:paraId="2850701A" w14:textId="6E1A80BC" w:rsidR="00037B5E" w:rsidRPr="00A3285A" w:rsidRDefault="00037B5E" w:rsidP="00A3285A">
            <w:pPr>
              <w:spacing w:line="240" w:lineRule="auto"/>
              <w:jc w:val="center"/>
              <w:rPr>
                <w:rFonts w:cs="Times New Roman"/>
                <w:color w:val="000000"/>
                <w:sz w:val="16"/>
                <w:szCs w:val="16"/>
              </w:rPr>
            </w:pPr>
            <w:r w:rsidRPr="00A3285A">
              <w:rPr>
                <w:rFonts w:cs="Times New Roman"/>
                <w:color w:val="000000"/>
                <w:sz w:val="16"/>
                <w:szCs w:val="16"/>
              </w:rPr>
              <w:t>3</w:t>
            </w:r>
          </w:p>
        </w:tc>
        <w:tc>
          <w:tcPr>
            <w:tcW w:w="1115" w:type="dxa"/>
          </w:tcPr>
          <w:p w14:paraId="30E9670B" w14:textId="2445EBF3" w:rsidR="00037B5E" w:rsidRPr="00A3285A" w:rsidRDefault="00037B5E" w:rsidP="00A3285A">
            <w:pPr>
              <w:spacing w:line="240" w:lineRule="auto"/>
              <w:jc w:val="center"/>
              <w:rPr>
                <w:rFonts w:cs="Times New Roman"/>
                <w:sz w:val="16"/>
                <w:szCs w:val="16"/>
              </w:rPr>
            </w:pPr>
            <w:r w:rsidRPr="00A3285A">
              <w:rPr>
                <w:rFonts w:cs="Times New Roman"/>
                <w:color w:val="000000"/>
                <w:sz w:val="16"/>
                <w:szCs w:val="16"/>
              </w:rPr>
              <w:t>2.8</w:t>
            </w:r>
          </w:p>
        </w:tc>
        <w:tc>
          <w:tcPr>
            <w:tcW w:w="1115" w:type="dxa"/>
          </w:tcPr>
          <w:p w14:paraId="0522E36C" w14:textId="390C37BD" w:rsidR="00037B5E" w:rsidRPr="00A3285A" w:rsidRDefault="00037B5E" w:rsidP="00A3285A">
            <w:pPr>
              <w:spacing w:line="240" w:lineRule="auto"/>
              <w:jc w:val="center"/>
              <w:rPr>
                <w:rFonts w:cs="Times New Roman"/>
                <w:sz w:val="16"/>
                <w:szCs w:val="16"/>
              </w:rPr>
            </w:pPr>
            <w:r w:rsidRPr="00A3285A">
              <w:rPr>
                <w:rFonts w:cs="Times New Roman"/>
                <w:color w:val="000000"/>
                <w:sz w:val="16"/>
                <w:szCs w:val="16"/>
              </w:rPr>
              <w:t>3.2</w:t>
            </w:r>
          </w:p>
        </w:tc>
      </w:tr>
      <w:tr w:rsidR="00A3285A" w:rsidRPr="00A3285A" w14:paraId="6B4EDBF9" w14:textId="77777777" w:rsidTr="00A3285A">
        <w:trPr>
          <w:trHeight w:val="222"/>
        </w:trPr>
        <w:tc>
          <w:tcPr>
            <w:tcW w:w="1341" w:type="dxa"/>
          </w:tcPr>
          <w:p w14:paraId="640DF9B8" w14:textId="77777777" w:rsidR="00A3285A" w:rsidRPr="00A3285A" w:rsidRDefault="00A3285A" w:rsidP="00A3285A">
            <w:pPr>
              <w:spacing w:line="240" w:lineRule="auto"/>
              <w:jc w:val="center"/>
              <w:rPr>
                <w:rFonts w:cs="Times New Roman"/>
                <w:sz w:val="16"/>
                <w:szCs w:val="16"/>
              </w:rPr>
            </w:pPr>
            <w:r w:rsidRPr="00A3285A">
              <w:rPr>
                <w:rFonts w:cs="Times New Roman"/>
                <w:sz w:val="16"/>
                <w:szCs w:val="16"/>
              </w:rPr>
              <w:t>HON</w:t>
            </w:r>
          </w:p>
        </w:tc>
        <w:tc>
          <w:tcPr>
            <w:tcW w:w="1559" w:type="dxa"/>
          </w:tcPr>
          <w:p w14:paraId="0731FDB6" w14:textId="5904E933"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2</w:t>
            </w:r>
          </w:p>
        </w:tc>
        <w:tc>
          <w:tcPr>
            <w:tcW w:w="1361" w:type="dxa"/>
          </w:tcPr>
          <w:p w14:paraId="23DED7E1" w14:textId="7DFA18D9"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0.4</w:t>
            </w:r>
          </w:p>
        </w:tc>
        <w:tc>
          <w:tcPr>
            <w:tcW w:w="1350" w:type="dxa"/>
          </w:tcPr>
          <w:p w14:paraId="370CA563" w14:textId="2F9B88EA"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1.2</w:t>
            </w:r>
          </w:p>
        </w:tc>
        <w:tc>
          <w:tcPr>
            <w:tcW w:w="1231" w:type="dxa"/>
          </w:tcPr>
          <w:p w14:paraId="7B3187D9" w14:textId="65D799BE"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1</w:t>
            </w:r>
          </w:p>
        </w:tc>
        <w:tc>
          <w:tcPr>
            <w:tcW w:w="1115" w:type="dxa"/>
          </w:tcPr>
          <w:p w14:paraId="36359B93" w14:textId="6A73B1D7"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2.1</w:t>
            </w:r>
          </w:p>
        </w:tc>
        <w:tc>
          <w:tcPr>
            <w:tcW w:w="1115" w:type="dxa"/>
          </w:tcPr>
          <w:p w14:paraId="419E271A" w14:textId="39375479"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4.1</w:t>
            </w:r>
          </w:p>
        </w:tc>
      </w:tr>
      <w:tr w:rsidR="00A3285A" w:rsidRPr="00A3285A" w14:paraId="1882E0FA" w14:textId="77777777" w:rsidTr="00A3285A">
        <w:trPr>
          <w:trHeight w:val="236"/>
        </w:trPr>
        <w:tc>
          <w:tcPr>
            <w:tcW w:w="1341" w:type="dxa"/>
          </w:tcPr>
          <w:p w14:paraId="4B59BCE4" w14:textId="77777777" w:rsidR="00A3285A" w:rsidRPr="00A3285A" w:rsidRDefault="00A3285A" w:rsidP="00A3285A">
            <w:pPr>
              <w:spacing w:line="240" w:lineRule="auto"/>
              <w:jc w:val="center"/>
              <w:rPr>
                <w:rFonts w:cs="Times New Roman"/>
                <w:sz w:val="16"/>
                <w:szCs w:val="16"/>
              </w:rPr>
            </w:pPr>
            <w:r w:rsidRPr="00A3285A">
              <w:rPr>
                <w:rFonts w:cs="Times New Roman"/>
                <w:sz w:val="16"/>
                <w:szCs w:val="16"/>
              </w:rPr>
              <w:t>MAU</w:t>
            </w:r>
          </w:p>
        </w:tc>
        <w:tc>
          <w:tcPr>
            <w:tcW w:w="1559" w:type="dxa"/>
          </w:tcPr>
          <w:p w14:paraId="4CB06426" w14:textId="079B9700" w:rsidR="00A3285A" w:rsidRPr="00A3285A" w:rsidRDefault="00A3285A" w:rsidP="00A3285A">
            <w:pPr>
              <w:spacing w:line="240" w:lineRule="auto"/>
              <w:jc w:val="center"/>
              <w:rPr>
                <w:rFonts w:cs="Times New Roman"/>
                <w:sz w:val="16"/>
                <w:szCs w:val="16"/>
              </w:rPr>
            </w:pPr>
            <w:r w:rsidRPr="00A3285A">
              <w:rPr>
                <w:rFonts w:cs="Times New Roman"/>
                <w:sz w:val="16"/>
                <w:szCs w:val="16"/>
              </w:rPr>
              <w:t>3</w:t>
            </w:r>
          </w:p>
        </w:tc>
        <w:tc>
          <w:tcPr>
            <w:tcW w:w="1361" w:type="dxa"/>
          </w:tcPr>
          <w:p w14:paraId="25FEE02C" w14:textId="42D1B7C8"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2</w:t>
            </w:r>
          </w:p>
        </w:tc>
        <w:tc>
          <w:tcPr>
            <w:tcW w:w="1350" w:type="dxa"/>
          </w:tcPr>
          <w:p w14:paraId="3DEAADB5" w14:textId="2A80BD15"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2.3</w:t>
            </w:r>
          </w:p>
        </w:tc>
        <w:tc>
          <w:tcPr>
            <w:tcW w:w="1231" w:type="dxa"/>
          </w:tcPr>
          <w:p w14:paraId="6F16DBA8" w14:textId="00C1319B" w:rsidR="00A3285A" w:rsidRPr="00A3285A" w:rsidRDefault="00A3285A" w:rsidP="00A3285A">
            <w:pPr>
              <w:spacing w:line="240" w:lineRule="auto"/>
              <w:jc w:val="center"/>
              <w:rPr>
                <w:rFonts w:cs="Times New Roman"/>
                <w:sz w:val="16"/>
                <w:szCs w:val="16"/>
              </w:rPr>
            </w:pPr>
            <w:r w:rsidRPr="00A3285A">
              <w:rPr>
                <w:rFonts w:cs="Times New Roman"/>
                <w:sz w:val="16"/>
                <w:szCs w:val="16"/>
              </w:rPr>
              <w:t>2</w:t>
            </w:r>
          </w:p>
        </w:tc>
        <w:tc>
          <w:tcPr>
            <w:tcW w:w="1115" w:type="dxa"/>
          </w:tcPr>
          <w:p w14:paraId="5AF5B33E" w14:textId="009C415B"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0.8</w:t>
            </w:r>
          </w:p>
        </w:tc>
        <w:tc>
          <w:tcPr>
            <w:tcW w:w="1115" w:type="dxa"/>
          </w:tcPr>
          <w:p w14:paraId="1EEA2B11" w14:textId="2F20431A"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1.5</w:t>
            </w:r>
          </w:p>
        </w:tc>
      </w:tr>
      <w:tr w:rsidR="00A3285A" w:rsidRPr="00A3285A" w14:paraId="5F255E8D" w14:textId="77777777" w:rsidTr="00A3285A">
        <w:trPr>
          <w:trHeight w:val="222"/>
        </w:trPr>
        <w:tc>
          <w:tcPr>
            <w:tcW w:w="1341" w:type="dxa"/>
          </w:tcPr>
          <w:p w14:paraId="6FFD9A54" w14:textId="77777777" w:rsidR="00A3285A" w:rsidRPr="00A3285A" w:rsidRDefault="00A3285A" w:rsidP="00A3285A">
            <w:pPr>
              <w:spacing w:line="240" w:lineRule="auto"/>
              <w:jc w:val="center"/>
              <w:rPr>
                <w:rFonts w:cs="Times New Roman"/>
                <w:sz w:val="16"/>
                <w:szCs w:val="16"/>
              </w:rPr>
            </w:pPr>
            <w:r w:rsidRPr="00A3285A">
              <w:rPr>
                <w:rFonts w:cs="Times New Roman"/>
                <w:sz w:val="16"/>
                <w:szCs w:val="16"/>
              </w:rPr>
              <w:t>POR</w:t>
            </w:r>
          </w:p>
        </w:tc>
        <w:tc>
          <w:tcPr>
            <w:tcW w:w="1559" w:type="dxa"/>
          </w:tcPr>
          <w:p w14:paraId="6F167B9A" w14:textId="4E8AE331"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6</w:t>
            </w:r>
          </w:p>
        </w:tc>
        <w:tc>
          <w:tcPr>
            <w:tcW w:w="1361" w:type="dxa"/>
          </w:tcPr>
          <w:p w14:paraId="4C90C326" w14:textId="3D0FB026"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6</w:t>
            </w:r>
          </w:p>
        </w:tc>
        <w:tc>
          <w:tcPr>
            <w:tcW w:w="1350" w:type="dxa"/>
          </w:tcPr>
          <w:p w14:paraId="689B5A8D" w14:textId="079FDC4C"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5.2</w:t>
            </w:r>
          </w:p>
        </w:tc>
        <w:tc>
          <w:tcPr>
            <w:tcW w:w="1231" w:type="dxa"/>
          </w:tcPr>
          <w:p w14:paraId="2AEDB395" w14:textId="455F8383"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3</w:t>
            </w:r>
          </w:p>
        </w:tc>
        <w:tc>
          <w:tcPr>
            <w:tcW w:w="1115" w:type="dxa"/>
          </w:tcPr>
          <w:p w14:paraId="7C0F253B" w14:textId="3BC41D14"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4.5</w:t>
            </w:r>
          </w:p>
        </w:tc>
        <w:tc>
          <w:tcPr>
            <w:tcW w:w="1115" w:type="dxa"/>
          </w:tcPr>
          <w:p w14:paraId="6C143AEC" w14:textId="21CD1A35"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4.2</w:t>
            </w:r>
          </w:p>
        </w:tc>
      </w:tr>
      <w:tr w:rsidR="00A3285A" w:rsidRPr="00A3285A" w14:paraId="12F8EDB6" w14:textId="77777777" w:rsidTr="00A3285A">
        <w:trPr>
          <w:trHeight w:val="236"/>
        </w:trPr>
        <w:tc>
          <w:tcPr>
            <w:tcW w:w="1341" w:type="dxa"/>
          </w:tcPr>
          <w:p w14:paraId="37A939F0" w14:textId="77777777" w:rsidR="00A3285A" w:rsidRPr="00A3285A" w:rsidRDefault="00A3285A" w:rsidP="00A3285A">
            <w:pPr>
              <w:spacing w:line="240" w:lineRule="auto"/>
              <w:jc w:val="center"/>
              <w:rPr>
                <w:rFonts w:cs="Times New Roman"/>
                <w:sz w:val="16"/>
                <w:szCs w:val="16"/>
              </w:rPr>
            </w:pPr>
            <w:r w:rsidRPr="00A3285A">
              <w:rPr>
                <w:rFonts w:cs="Times New Roman"/>
                <w:sz w:val="16"/>
                <w:szCs w:val="16"/>
              </w:rPr>
              <w:t>RAI</w:t>
            </w:r>
          </w:p>
        </w:tc>
        <w:tc>
          <w:tcPr>
            <w:tcW w:w="1559" w:type="dxa"/>
          </w:tcPr>
          <w:p w14:paraId="7220898C" w14:textId="31CF9177" w:rsidR="00A3285A" w:rsidRPr="00A3285A" w:rsidRDefault="00A3285A" w:rsidP="00A3285A">
            <w:pPr>
              <w:spacing w:line="240" w:lineRule="auto"/>
              <w:jc w:val="center"/>
              <w:rPr>
                <w:rFonts w:cs="Times New Roman"/>
                <w:sz w:val="16"/>
                <w:szCs w:val="16"/>
              </w:rPr>
            </w:pPr>
            <w:r w:rsidRPr="00A3285A">
              <w:rPr>
                <w:rFonts w:cs="Times New Roman"/>
                <w:sz w:val="16"/>
                <w:szCs w:val="16"/>
              </w:rPr>
              <w:t>5</w:t>
            </w:r>
          </w:p>
        </w:tc>
        <w:tc>
          <w:tcPr>
            <w:tcW w:w="1361" w:type="dxa"/>
          </w:tcPr>
          <w:p w14:paraId="6549A622" w14:textId="2E607B30"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9.8</w:t>
            </w:r>
          </w:p>
        </w:tc>
        <w:tc>
          <w:tcPr>
            <w:tcW w:w="1350" w:type="dxa"/>
          </w:tcPr>
          <w:p w14:paraId="5577644E" w14:textId="539132F9"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5.4</w:t>
            </w:r>
          </w:p>
        </w:tc>
        <w:tc>
          <w:tcPr>
            <w:tcW w:w="1231" w:type="dxa"/>
          </w:tcPr>
          <w:p w14:paraId="604FEB23" w14:textId="5A468DB4" w:rsidR="00A3285A" w:rsidRPr="00A3285A" w:rsidRDefault="00A3285A" w:rsidP="00A3285A">
            <w:pPr>
              <w:spacing w:line="240" w:lineRule="auto"/>
              <w:jc w:val="center"/>
              <w:rPr>
                <w:rFonts w:cs="Times New Roman"/>
                <w:sz w:val="16"/>
                <w:szCs w:val="16"/>
              </w:rPr>
            </w:pPr>
            <w:r w:rsidRPr="00A3285A">
              <w:rPr>
                <w:rFonts w:cs="Times New Roman"/>
                <w:sz w:val="16"/>
                <w:szCs w:val="16"/>
              </w:rPr>
              <w:t>3</w:t>
            </w:r>
          </w:p>
        </w:tc>
        <w:tc>
          <w:tcPr>
            <w:tcW w:w="1115" w:type="dxa"/>
          </w:tcPr>
          <w:p w14:paraId="74FC7FA5" w14:textId="61B12DC5"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3.2</w:t>
            </w:r>
          </w:p>
        </w:tc>
        <w:tc>
          <w:tcPr>
            <w:tcW w:w="1115" w:type="dxa"/>
          </w:tcPr>
          <w:p w14:paraId="15B9C64B" w14:textId="5E2043B4"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2.1</w:t>
            </w:r>
          </w:p>
        </w:tc>
      </w:tr>
      <w:tr w:rsidR="00A3285A" w:rsidRPr="00A3285A" w14:paraId="6D0C2322" w14:textId="77777777" w:rsidTr="00A3285A">
        <w:trPr>
          <w:trHeight w:val="222"/>
        </w:trPr>
        <w:tc>
          <w:tcPr>
            <w:tcW w:w="1341" w:type="dxa"/>
          </w:tcPr>
          <w:p w14:paraId="72C41703" w14:textId="77777777" w:rsidR="00A3285A" w:rsidRPr="00A3285A" w:rsidRDefault="00A3285A" w:rsidP="00A3285A">
            <w:pPr>
              <w:spacing w:line="240" w:lineRule="auto"/>
              <w:jc w:val="center"/>
              <w:rPr>
                <w:rFonts w:cs="Times New Roman"/>
                <w:sz w:val="16"/>
                <w:szCs w:val="16"/>
              </w:rPr>
            </w:pPr>
            <w:r w:rsidRPr="00A3285A">
              <w:rPr>
                <w:rFonts w:cs="Times New Roman"/>
                <w:sz w:val="16"/>
                <w:szCs w:val="16"/>
              </w:rPr>
              <w:t>SAN</w:t>
            </w:r>
          </w:p>
        </w:tc>
        <w:tc>
          <w:tcPr>
            <w:tcW w:w="1559" w:type="dxa"/>
          </w:tcPr>
          <w:p w14:paraId="67B3BB42" w14:textId="52CC1B43"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3</w:t>
            </w:r>
          </w:p>
        </w:tc>
        <w:tc>
          <w:tcPr>
            <w:tcW w:w="1361" w:type="dxa"/>
          </w:tcPr>
          <w:p w14:paraId="7523C5D7" w14:textId="0E9F74F2"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4.3</w:t>
            </w:r>
          </w:p>
        </w:tc>
        <w:tc>
          <w:tcPr>
            <w:tcW w:w="1350" w:type="dxa"/>
          </w:tcPr>
          <w:p w14:paraId="7869B466" w14:textId="7F434A0F"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5.4</w:t>
            </w:r>
          </w:p>
        </w:tc>
        <w:tc>
          <w:tcPr>
            <w:tcW w:w="1231" w:type="dxa"/>
          </w:tcPr>
          <w:p w14:paraId="0A3AB175" w14:textId="6F162958"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2</w:t>
            </w:r>
          </w:p>
        </w:tc>
        <w:tc>
          <w:tcPr>
            <w:tcW w:w="1115" w:type="dxa"/>
          </w:tcPr>
          <w:p w14:paraId="08B6877C" w14:textId="19BBD350"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3.6</w:t>
            </w:r>
          </w:p>
        </w:tc>
        <w:tc>
          <w:tcPr>
            <w:tcW w:w="1115" w:type="dxa"/>
          </w:tcPr>
          <w:p w14:paraId="5D785971" w14:textId="6AC0CC0F"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6.7</w:t>
            </w:r>
          </w:p>
        </w:tc>
      </w:tr>
      <w:tr w:rsidR="00A3285A" w:rsidRPr="00A3285A" w14:paraId="658CC6A9" w14:textId="77777777" w:rsidTr="00A3285A">
        <w:trPr>
          <w:trHeight w:val="236"/>
        </w:trPr>
        <w:tc>
          <w:tcPr>
            <w:tcW w:w="1341" w:type="dxa"/>
          </w:tcPr>
          <w:p w14:paraId="05ACBC73" w14:textId="77777777" w:rsidR="00A3285A" w:rsidRPr="00A3285A" w:rsidRDefault="00A3285A" w:rsidP="00A3285A">
            <w:pPr>
              <w:spacing w:line="240" w:lineRule="auto"/>
              <w:jc w:val="center"/>
              <w:rPr>
                <w:rFonts w:cs="Times New Roman"/>
                <w:sz w:val="16"/>
                <w:szCs w:val="16"/>
              </w:rPr>
            </w:pPr>
            <w:r w:rsidRPr="00A3285A">
              <w:rPr>
                <w:rFonts w:cs="Times New Roman"/>
                <w:sz w:val="16"/>
                <w:szCs w:val="16"/>
              </w:rPr>
              <w:t>TIF</w:t>
            </w:r>
          </w:p>
        </w:tc>
        <w:tc>
          <w:tcPr>
            <w:tcW w:w="1559" w:type="dxa"/>
          </w:tcPr>
          <w:p w14:paraId="4EC64D3C" w14:textId="2C766B97"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3</w:t>
            </w:r>
          </w:p>
        </w:tc>
        <w:tc>
          <w:tcPr>
            <w:tcW w:w="1361" w:type="dxa"/>
          </w:tcPr>
          <w:p w14:paraId="288DDF40" w14:textId="01924014"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0.2</w:t>
            </w:r>
          </w:p>
        </w:tc>
        <w:tc>
          <w:tcPr>
            <w:tcW w:w="1350" w:type="dxa"/>
          </w:tcPr>
          <w:p w14:paraId="65BA55AB" w14:textId="38D05B09"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-2</w:t>
            </w:r>
          </w:p>
        </w:tc>
        <w:tc>
          <w:tcPr>
            <w:tcW w:w="1231" w:type="dxa"/>
          </w:tcPr>
          <w:p w14:paraId="38755C89" w14:textId="4D671AF1"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2</w:t>
            </w:r>
          </w:p>
        </w:tc>
        <w:tc>
          <w:tcPr>
            <w:tcW w:w="1115" w:type="dxa"/>
          </w:tcPr>
          <w:p w14:paraId="096BBE54" w14:textId="0D8A786A"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0.2</w:t>
            </w:r>
          </w:p>
        </w:tc>
        <w:tc>
          <w:tcPr>
            <w:tcW w:w="1115" w:type="dxa"/>
          </w:tcPr>
          <w:p w14:paraId="057145BB" w14:textId="17FA2E9A"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-1.7</w:t>
            </w:r>
          </w:p>
        </w:tc>
      </w:tr>
      <w:tr w:rsidR="00A3285A" w:rsidRPr="00A3285A" w14:paraId="6D0716C5" w14:textId="77777777" w:rsidTr="00A3285A">
        <w:trPr>
          <w:trHeight w:val="222"/>
        </w:trPr>
        <w:tc>
          <w:tcPr>
            <w:tcW w:w="1341" w:type="dxa"/>
          </w:tcPr>
          <w:p w14:paraId="64AE3648" w14:textId="77777777" w:rsidR="00A3285A" w:rsidRPr="00A3285A" w:rsidRDefault="00A3285A" w:rsidP="00A3285A">
            <w:pPr>
              <w:spacing w:line="240" w:lineRule="auto"/>
              <w:jc w:val="center"/>
              <w:rPr>
                <w:rFonts w:cs="Times New Roman"/>
                <w:sz w:val="16"/>
                <w:szCs w:val="16"/>
              </w:rPr>
            </w:pPr>
            <w:r w:rsidRPr="00A3285A">
              <w:rPr>
                <w:rFonts w:cs="Times New Roman"/>
                <w:sz w:val="16"/>
                <w:szCs w:val="16"/>
              </w:rPr>
              <w:t>Average</w:t>
            </w:r>
          </w:p>
        </w:tc>
        <w:tc>
          <w:tcPr>
            <w:tcW w:w="1559" w:type="dxa"/>
          </w:tcPr>
          <w:p w14:paraId="0A654FC9" w14:textId="0A64AE64" w:rsidR="00A3285A" w:rsidRPr="00A3285A" w:rsidRDefault="00C43D60" w:rsidP="00A3285A">
            <w:pPr>
              <w:spacing w:line="240" w:lineRule="auto"/>
              <w:jc w:val="center"/>
              <w:rPr>
                <w:rFonts w:cs="Times New Roman"/>
                <w:sz w:val="16"/>
                <w:szCs w:val="16"/>
              </w:rPr>
            </w:pPr>
            <w:r>
              <w:rPr>
                <w:rFonts w:cs="Times New Roman"/>
                <w:sz w:val="16"/>
                <w:szCs w:val="16"/>
              </w:rPr>
              <w:t>4</w:t>
            </w:r>
          </w:p>
        </w:tc>
        <w:tc>
          <w:tcPr>
            <w:tcW w:w="1361" w:type="dxa"/>
          </w:tcPr>
          <w:p w14:paraId="6BB28D83" w14:textId="323F606D" w:rsidR="00A3285A" w:rsidRPr="00A3285A" w:rsidRDefault="00A3285A" w:rsidP="00A3285A">
            <w:pPr>
              <w:spacing w:line="240" w:lineRule="auto"/>
              <w:jc w:val="center"/>
              <w:rPr>
                <w:rFonts w:cs="Times New Roman"/>
                <w:sz w:val="16"/>
                <w:szCs w:val="16"/>
              </w:rPr>
            </w:pPr>
            <w:r w:rsidRPr="00A3285A">
              <w:rPr>
                <w:rFonts w:cs="Times New Roman"/>
                <w:sz w:val="16"/>
                <w:szCs w:val="16"/>
              </w:rPr>
              <w:t>3.8</w:t>
            </w:r>
          </w:p>
        </w:tc>
        <w:tc>
          <w:tcPr>
            <w:tcW w:w="1350" w:type="dxa"/>
          </w:tcPr>
          <w:p w14:paraId="3BEBBCF9" w14:textId="26B5DB5F" w:rsidR="00A3285A" w:rsidRPr="00A3285A" w:rsidRDefault="00A3285A" w:rsidP="00A3285A">
            <w:pPr>
              <w:spacing w:line="240" w:lineRule="auto"/>
              <w:jc w:val="center"/>
              <w:rPr>
                <w:rFonts w:cs="Times New Roman"/>
                <w:sz w:val="16"/>
                <w:szCs w:val="16"/>
              </w:rPr>
            </w:pPr>
            <w:r w:rsidRPr="00A3285A">
              <w:rPr>
                <w:rFonts w:cs="Times New Roman"/>
                <w:color w:val="000000"/>
                <w:sz w:val="16"/>
                <w:szCs w:val="16"/>
              </w:rPr>
              <w:t>2.8</w:t>
            </w:r>
          </w:p>
        </w:tc>
        <w:tc>
          <w:tcPr>
            <w:tcW w:w="1231" w:type="dxa"/>
          </w:tcPr>
          <w:p w14:paraId="5DBD62F7" w14:textId="5382DA6A" w:rsidR="00A3285A" w:rsidRPr="00A3285A" w:rsidRDefault="00C43D60" w:rsidP="00A3285A">
            <w:pPr>
              <w:spacing w:line="240" w:lineRule="auto"/>
              <w:jc w:val="center"/>
              <w:rPr>
                <w:rFonts w:cs="Times New Roman"/>
                <w:sz w:val="16"/>
                <w:szCs w:val="16"/>
              </w:rPr>
            </w:pPr>
            <w:r>
              <w:rPr>
                <w:rFonts w:cs="Times New Roman"/>
                <w:sz w:val="16"/>
                <w:szCs w:val="16"/>
              </w:rPr>
              <w:t>2</w:t>
            </w:r>
          </w:p>
        </w:tc>
        <w:tc>
          <w:tcPr>
            <w:tcW w:w="1115" w:type="dxa"/>
          </w:tcPr>
          <w:p w14:paraId="458A74A6" w14:textId="11B0A8B9" w:rsidR="00A3285A" w:rsidRPr="00A3285A" w:rsidRDefault="00A3285A" w:rsidP="00A3285A">
            <w:pPr>
              <w:spacing w:line="240" w:lineRule="auto"/>
              <w:jc w:val="center"/>
              <w:rPr>
                <w:rFonts w:cs="Times New Roman"/>
                <w:sz w:val="16"/>
                <w:szCs w:val="16"/>
              </w:rPr>
            </w:pPr>
            <w:r w:rsidRPr="00A3285A">
              <w:rPr>
                <w:rFonts w:cs="Times New Roman"/>
                <w:sz w:val="16"/>
                <w:szCs w:val="16"/>
              </w:rPr>
              <w:t>2.4</w:t>
            </w:r>
          </w:p>
        </w:tc>
        <w:tc>
          <w:tcPr>
            <w:tcW w:w="1115" w:type="dxa"/>
          </w:tcPr>
          <w:p w14:paraId="6BA9D2C1" w14:textId="4C7F43EC" w:rsidR="00A3285A" w:rsidRPr="00A3285A" w:rsidRDefault="00A3285A" w:rsidP="00A3285A">
            <w:pPr>
              <w:spacing w:line="240" w:lineRule="auto"/>
              <w:jc w:val="center"/>
              <w:rPr>
                <w:rFonts w:cs="Times New Roman"/>
                <w:sz w:val="16"/>
                <w:szCs w:val="16"/>
              </w:rPr>
            </w:pPr>
            <w:r w:rsidRPr="00A3285A">
              <w:rPr>
                <w:rFonts w:cs="Times New Roman"/>
                <w:sz w:val="16"/>
                <w:szCs w:val="16"/>
              </w:rPr>
              <w:t>2.9</w:t>
            </w:r>
          </w:p>
        </w:tc>
      </w:tr>
    </w:tbl>
    <w:p w14:paraId="5D9EEB19" w14:textId="7E3C3180" w:rsidR="00FA05EC" w:rsidRDefault="00FA05EC" w:rsidP="00BF765F"/>
    <w:p w14:paraId="6644024B" w14:textId="5225AFB2" w:rsidR="00ED74D5" w:rsidRDefault="00ED74D5" w:rsidP="00BF765F"/>
    <w:p w14:paraId="0AD21F0D" w14:textId="0438BCCA" w:rsidR="00ED74D5" w:rsidRDefault="00ED74D5" w:rsidP="00ED74D5">
      <w:pPr>
        <w:jc w:val="center"/>
      </w:pPr>
    </w:p>
    <w:p w14:paraId="4DDD9AA3" w14:textId="77777777" w:rsidR="00ED74D5" w:rsidRPr="00BF765F" w:rsidRDefault="00ED74D5" w:rsidP="00BF765F"/>
    <w:p w14:paraId="4383E53E" w14:textId="53EE5A82" w:rsidR="00C940D8" w:rsidRDefault="00BF765F" w:rsidP="00BF765F">
      <w:pPr>
        <w:pStyle w:val="Heading3"/>
      </w:pPr>
      <w:r>
        <w:t xml:space="preserve">Influential seasons on trend dynamics </w:t>
      </w:r>
    </w:p>
    <w:p w14:paraId="38830EAA" w14:textId="3838CF45" w:rsidR="00A3285A" w:rsidRPr="00A27493" w:rsidRDefault="00A3285A" w:rsidP="00A3285A">
      <w:pPr>
        <w:ind w:firstLine="720"/>
      </w:pPr>
      <w:r>
        <w:t xml:space="preserve">For SRP, the winter season (Dec - Feb) trends were generally lower than the annual fluxes indicating that winter SRP losses either mediated upward annual trends or strengthened downward annual trends. Alternatively, the summer season (Aug-Sep) trends were generally greater than the annual trend, indicating that summer SRP losses have been increasing across the basin and may be a driving force some the upward annual SRP trends in the WLEB. Additionally, the fall season (Oct – Nov) was also generally greater than annual trends, especially at the Blanchard and Maumee sites. With the size of the Maumee watershed, this which indicated that these were also drivers </w:t>
      </w:r>
      <w:proofErr w:type="gramStart"/>
      <w:r>
        <w:t>of  and</w:t>
      </w:r>
      <w:proofErr w:type="gramEnd"/>
      <w:r>
        <w:t xml:space="preserve"> spring (Mar – July) seasons </w:t>
      </w:r>
    </w:p>
    <w:p w14:paraId="4E23DB02" w14:textId="77777777" w:rsidR="0078110D" w:rsidRPr="00FA05EC" w:rsidRDefault="0078110D" w:rsidP="00FA05EC"/>
    <w:p w14:paraId="526A625C" w14:textId="07AFE261" w:rsidR="006976C7" w:rsidRPr="006976C7" w:rsidRDefault="00450C40" w:rsidP="00B24DA9">
      <w:pPr>
        <w:pStyle w:val="Heading2"/>
      </w:pPr>
      <w:r>
        <w:lastRenderedPageBreak/>
        <w:t>Nutrient Application Rules</w:t>
      </w:r>
    </w:p>
    <w:p w14:paraId="274ABF9A" w14:textId="77777777" w:rsidR="00B24DA9" w:rsidRDefault="00B24DA9" w:rsidP="00B24DA9">
      <w:pPr>
        <w:pStyle w:val="Heading2"/>
      </w:pPr>
      <w:r>
        <w:t>Potential influence of watershed characteristics</w:t>
      </w:r>
    </w:p>
    <w:p w14:paraId="77EB50DF" w14:textId="6F40E2D4" w:rsidR="005B122A" w:rsidRDefault="005B122A" w:rsidP="00B24DA9">
      <w:pPr>
        <w:pStyle w:val="Heading3"/>
      </w:pPr>
      <w:r w:rsidRPr="00B24DA9">
        <w:t>Blanchard</w:t>
      </w:r>
      <w:r>
        <w:t xml:space="preserve"> </w:t>
      </w:r>
    </w:p>
    <w:p w14:paraId="2DA79519" w14:textId="6EE590A7" w:rsidR="00450C40" w:rsidRDefault="00450C40" w:rsidP="005B122A">
      <w:pPr>
        <w:pStyle w:val="Heading3"/>
      </w:pPr>
      <w:r>
        <w:t>Livestock populations in the counties</w:t>
      </w:r>
    </w:p>
    <w:p w14:paraId="7AF88DE4" w14:textId="77777777" w:rsidR="00450C40" w:rsidRPr="00450C40" w:rsidRDefault="00450C40" w:rsidP="00450C40"/>
    <w:p w14:paraId="37911A1F" w14:textId="77777777" w:rsidR="00BB60DF" w:rsidRPr="00BB60DF" w:rsidRDefault="00BB60DF" w:rsidP="00BB60DF"/>
    <w:p w14:paraId="15C25193" w14:textId="387BEBD3" w:rsidR="00C5354B" w:rsidRDefault="00BB60DF" w:rsidP="00BB60DF">
      <w:pPr>
        <w:pStyle w:val="Heading1"/>
      </w:pPr>
      <w:r>
        <w:t>Conclusion</w:t>
      </w:r>
    </w:p>
    <w:p w14:paraId="0512BCAC" w14:textId="77777777" w:rsidR="00134E80" w:rsidRPr="00134E80" w:rsidRDefault="00134E80" w:rsidP="00134E80"/>
    <w:p w14:paraId="4141AFF2" w14:textId="77777777" w:rsidR="00134E80" w:rsidRDefault="00134E80">
      <w:pPr>
        <w:rPr>
          <w:rFonts w:eastAsiaTheme="majorEastAsia" w:cstheme="majorBidi"/>
          <w:b/>
          <w:sz w:val="32"/>
          <w:szCs w:val="32"/>
        </w:rPr>
      </w:pPr>
      <w:r>
        <w:br w:type="page"/>
      </w:r>
    </w:p>
    <w:p w14:paraId="724C600D" w14:textId="77777777" w:rsidR="00134E80" w:rsidRDefault="00134E80" w:rsidP="00134E80">
      <w:pPr>
        <w:pStyle w:val="Heading1"/>
        <w:numPr>
          <w:ilvl w:val="0"/>
          <w:numId w:val="0"/>
        </w:numPr>
        <w:ind w:left="432" w:hanging="432"/>
      </w:pPr>
      <w:r>
        <w:lastRenderedPageBreak/>
        <w:t>References</w:t>
      </w:r>
    </w:p>
    <w:p w14:paraId="1E18FEEE" w14:textId="77777777" w:rsidR="003546F8" w:rsidRPr="003546F8" w:rsidRDefault="00001EA6" w:rsidP="003546F8">
      <w:pPr>
        <w:pStyle w:val="EndNoteBibliography"/>
        <w:spacing w:after="0"/>
        <w:ind w:left="720" w:hanging="720"/>
      </w:pPr>
      <w:r>
        <w:rPr>
          <w:rFonts w:ascii="Calibri Light" w:hAnsi="Calibri Light" w:cs="Calibri Light"/>
        </w:rPr>
        <w:fldChar w:fldCharType="begin"/>
      </w:r>
      <w:r>
        <w:instrText xml:space="preserve"> ADDIN EN.REFLIST </w:instrText>
      </w:r>
      <w:r>
        <w:rPr>
          <w:rFonts w:ascii="Calibri Light" w:hAnsi="Calibri Light" w:cs="Calibri Light"/>
        </w:rPr>
        <w:fldChar w:fldCharType="separate"/>
      </w:r>
      <w:r w:rsidR="003546F8" w:rsidRPr="003546F8">
        <w:t xml:space="preserve">Annex 4. (2015). </w:t>
      </w:r>
      <w:r w:rsidR="003546F8" w:rsidRPr="003546F8">
        <w:rPr>
          <w:i/>
        </w:rPr>
        <w:t>Recommended phosphorus loading targets for Lake Erie. Annex 4 Objectives and Targets Task Team Final Report to the Nutrients Annex Subcommittee</w:t>
      </w:r>
      <w:r w:rsidR="003546F8" w:rsidRPr="003546F8">
        <w:t xml:space="preserve">. </w:t>
      </w:r>
    </w:p>
    <w:p w14:paraId="2EB3EAF9" w14:textId="774F20E9" w:rsidR="003546F8" w:rsidRPr="003546F8" w:rsidRDefault="003546F8" w:rsidP="003546F8">
      <w:pPr>
        <w:pStyle w:val="EndNoteBibliography"/>
        <w:spacing w:after="0"/>
        <w:ind w:left="720" w:hanging="720"/>
      </w:pPr>
      <w:r w:rsidRPr="003546F8">
        <w:t xml:space="preserve">Baker, D. B., Confesor, R., Ewing, D. E., Johnson, L. T., Kramer, J. W., &amp; Merryfield, B. J. (2014). Phosphorus loading to Lake Erie from the Maumee, Sandusky and Cuyahoga rivers: The importance of bioavailability. </w:t>
      </w:r>
      <w:r w:rsidRPr="003546F8">
        <w:rPr>
          <w:i/>
        </w:rPr>
        <w:t>Journal of Great Lakes Research, 40</w:t>
      </w:r>
      <w:r w:rsidRPr="003546F8">
        <w:t>(3), 502-517. doi:</w:t>
      </w:r>
      <w:hyperlink r:id="rId7" w:history="1">
        <w:r w:rsidRPr="003546F8">
          <w:rPr>
            <w:rStyle w:val="Hyperlink"/>
          </w:rPr>
          <w:t>https://doi.org/10.1016/j.jglr.2014.05.001</w:t>
        </w:r>
      </w:hyperlink>
    </w:p>
    <w:p w14:paraId="0CCBDCC8" w14:textId="77777777" w:rsidR="003546F8" w:rsidRPr="003546F8" w:rsidRDefault="003546F8" w:rsidP="003546F8">
      <w:pPr>
        <w:pStyle w:val="EndNoteBibliography"/>
        <w:spacing w:after="0"/>
        <w:ind w:left="720" w:hanging="720"/>
      </w:pPr>
      <w:r w:rsidRPr="003546F8">
        <w:t xml:space="preserve">GLWQA. (2012). </w:t>
      </w:r>
      <w:r w:rsidRPr="003546F8">
        <w:rPr>
          <w:i/>
        </w:rPr>
        <w:t>The Great Lakes Water Quality Protocol 2012</w:t>
      </w:r>
      <w:r w:rsidRPr="003546F8">
        <w:t>.</w:t>
      </w:r>
    </w:p>
    <w:p w14:paraId="21E3FE03" w14:textId="6B280D62" w:rsidR="003546F8" w:rsidRPr="003546F8" w:rsidRDefault="003546F8" w:rsidP="003546F8">
      <w:pPr>
        <w:pStyle w:val="EndNoteBibliography"/>
        <w:spacing w:after="0"/>
        <w:ind w:left="720" w:hanging="720"/>
      </w:pPr>
      <w:r w:rsidRPr="003546F8">
        <w:t xml:space="preserve">Hicks, M. B., Crain, A. S., &amp; Segrest, N. G. (2023). </w:t>
      </w:r>
      <w:r w:rsidRPr="003546F8">
        <w:rPr>
          <w:i/>
        </w:rPr>
        <w:t>Status and trends of total nitrogen and total phosphorus concentrations, loads, and yields in streams of Mississippi, water years 2008–18</w:t>
      </w:r>
      <w:r w:rsidRPr="003546F8">
        <w:t xml:space="preserve"> (2023-5003). Retrieved from Reston, VA: </w:t>
      </w:r>
      <w:hyperlink r:id="rId8" w:history="1">
        <w:r w:rsidRPr="003546F8">
          <w:rPr>
            <w:rStyle w:val="Hyperlink"/>
          </w:rPr>
          <w:t>http://pubs.er.usgs.gov/publication/sir20235003</w:t>
        </w:r>
      </w:hyperlink>
    </w:p>
    <w:p w14:paraId="1A95593E" w14:textId="35732DCB" w:rsidR="003546F8" w:rsidRPr="003546F8" w:rsidRDefault="003546F8" w:rsidP="003546F8">
      <w:pPr>
        <w:pStyle w:val="EndNoteBibliography"/>
        <w:spacing w:after="0"/>
        <w:ind w:left="720" w:hanging="720"/>
      </w:pPr>
      <w:r w:rsidRPr="003546F8">
        <w:t xml:space="preserve">Hirsch, R. M., Archfield, S. A., &amp; De Cicco, L. A. (2015). A bootstrap method for estimating uncertainty of water quality trends. </w:t>
      </w:r>
      <w:r w:rsidRPr="003546F8">
        <w:rPr>
          <w:i/>
        </w:rPr>
        <w:t>Environmental Modelling &amp; Software, 73</w:t>
      </w:r>
      <w:r w:rsidRPr="003546F8">
        <w:t>, 148-166. doi:</w:t>
      </w:r>
      <w:hyperlink r:id="rId9" w:history="1">
        <w:r w:rsidRPr="003546F8">
          <w:rPr>
            <w:rStyle w:val="Hyperlink"/>
          </w:rPr>
          <w:t>https://doi.org/10.1016/j.envsoft.2015.07.017</w:t>
        </w:r>
      </w:hyperlink>
    </w:p>
    <w:p w14:paraId="77EA6B16" w14:textId="1E4CFF55" w:rsidR="003546F8" w:rsidRPr="003546F8" w:rsidRDefault="003546F8" w:rsidP="003546F8">
      <w:pPr>
        <w:pStyle w:val="EndNoteBibliography"/>
        <w:spacing w:after="0"/>
        <w:ind w:left="720" w:hanging="720"/>
      </w:pPr>
      <w:r w:rsidRPr="003546F8">
        <w:t xml:space="preserve">Hirsch, R. M., Moyer, D. L., &amp; Archfield, S. A. (2010). Weighted Regressions on Time, Discharge, and Season (WRTDS), with an Application to Chesapeake Bay River Inputs1. </w:t>
      </w:r>
      <w:r w:rsidRPr="003546F8">
        <w:rPr>
          <w:i/>
        </w:rPr>
        <w:t>JAWRA Journal of the American Water Resources Association, 46</w:t>
      </w:r>
      <w:r w:rsidRPr="003546F8">
        <w:t>(5), 857-880. doi:</w:t>
      </w:r>
      <w:hyperlink r:id="rId10" w:history="1">
        <w:r w:rsidRPr="003546F8">
          <w:rPr>
            <w:rStyle w:val="Hyperlink"/>
          </w:rPr>
          <w:t>https://doi.org/10.1111/j.1752-1688.2010.00482.x</w:t>
        </w:r>
      </w:hyperlink>
    </w:p>
    <w:p w14:paraId="3ECE4BFF" w14:textId="77777777" w:rsidR="003546F8" w:rsidRPr="003546F8" w:rsidRDefault="003546F8" w:rsidP="003546F8">
      <w:pPr>
        <w:pStyle w:val="EndNoteBibliography"/>
        <w:spacing w:after="0"/>
        <w:ind w:left="720" w:hanging="720"/>
      </w:pPr>
      <w:r w:rsidRPr="003546F8">
        <w:t xml:space="preserve">Jarvie, H. P., Johnson, L. T., Sharpley, A. N., Smith, D. R., Baker, D. B., Bruulsema, T. W., &amp; Confesor, R. (2017). Increased Soluble Phosphorus Loads to Lake Erie: Unintended Consequences of Conservation Practices? </w:t>
      </w:r>
      <w:r w:rsidRPr="003546F8">
        <w:rPr>
          <w:i/>
        </w:rPr>
        <w:t>J Environ Qual, 46</w:t>
      </w:r>
      <w:r w:rsidRPr="003546F8">
        <w:t>(1), 123-132. doi:10.2134/jeq2016.07.0248</w:t>
      </w:r>
    </w:p>
    <w:p w14:paraId="568EB7B5" w14:textId="77777777" w:rsidR="003546F8" w:rsidRPr="003546F8" w:rsidRDefault="003546F8" w:rsidP="003546F8">
      <w:pPr>
        <w:pStyle w:val="EndNoteBibliography"/>
        <w:spacing w:after="0"/>
        <w:ind w:left="720" w:hanging="720"/>
      </w:pPr>
      <w:r w:rsidRPr="003546F8">
        <w:t xml:space="preserve">Kast, J. B., Apostel, A. M., Kalcic, M. M., Muenich, R. L., Dagnew, A., Long, C. M., . . . Martin, J. F. (2021). Source contribution to phosphorus loads from the Maumee River watershed to Lake Erie. </w:t>
      </w:r>
      <w:r w:rsidRPr="003546F8">
        <w:rPr>
          <w:i/>
        </w:rPr>
        <w:t>J Environ Manage, 279</w:t>
      </w:r>
      <w:r w:rsidRPr="003546F8">
        <w:t>, 111803. doi:10.1016/j.jenvman.2020.111803</w:t>
      </w:r>
    </w:p>
    <w:p w14:paraId="77F57569" w14:textId="77777777" w:rsidR="003546F8" w:rsidRPr="003546F8" w:rsidRDefault="003546F8" w:rsidP="003546F8">
      <w:pPr>
        <w:pStyle w:val="EndNoteBibliography"/>
        <w:spacing w:after="0"/>
        <w:ind w:left="720" w:hanging="720"/>
      </w:pPr>
      <w:r w:rsidRPr="003546F8">
        <w:t xml:space="preserve">Michalak, A. M., Anderson, E. J., Beletsky, D., Boland, S., Bosch, N. S., Bridgeman, T. B., . . . Zagorski, M. A. (2013). Record-setting algal bloom in Lake Erie caused by agricultural and meteorological trends consistent with expected future conditions. </w:t>
      </w:r>
      <w:r w:rsidRPr="003546F8">
        <w:rPr>
          <w:i/>
        </w:rPr>
        <w:t>Proc Natl Acad Sci U S A, 110</w:t>
      </w:r>
      <w:r w:rsidRPr="003546F8">
        <w:t>(16), 6448-6452. doi:10.1073/pnas.1216006110</w:t>
      </w:r>
    </w:p>
    <w:p w14:paraId="3A4E79A2" w14:textId="6A60AF0F" w:rsidR="003546F8" w:rsidRPr="003546F8" w:rsidRDefault="003546F8" w:rsidP="003546F8">
      <w:pPr>
        <w:pStyle w:val="EndNoteBibliography"/>
        <w:spacing w:after="0"/>
        <w:ind w:left="720" w:hanging="720"/>
      </w:pPr>
      <w:r w:rsidRPr="003546F8">
        <w:t xml:space="preserve">NCWQR. (2022). </w:t>
      </w:r>
      <w:r w:rsidRPr="003546F8">
        <w:rPr>
          <w:i/>
        </w:rPr>
        <w:t>Heidelberg Tributary Loading Program (HTLP) Dataset</w:t>
      </w:r>
      <w:r w:rsidRPr="003546F8">
        <w:t xml:space="preserve">. Retrieved from: </w:t>
      </w:r>
      <w:hyperlink r:id="rId11" w:history="1">
        <w:r w:rsidRPr="003546F8">
          <w:rPr>
            <w:rStyle w:val="Hyperlink"/>
          </w:rPr>
          <w:t>https://doi.org/10.5281/zenodo.6606950</w:t>
        </w:r>
      </w:hyperlink>
    </w:p>
    <w:p w14:paraId="75EED4A5" w14:textId="1E6D56E2" w:rsidR="003546F8" w:rsidRPr="003546F8" w:rsidRDefault="003546F8" w:rsidP="003546F8">
      <w:pPr>
        <w:pStyle w:val="EndNoteBibliography"/>
        <w:spacing w:after="0"/>
        <w:ind w:left="720" w:hanging="720"/>
      </w:pPr>
      <w:r w:rsidRPr="003546F8">
        <w:t xml:space="preserve">R Core Team. (2022). R: A Language and Environment for Statistical Computing (Version 4.1.3). Vienna, Austria: R Foundation for Statistical Computing. Retrieved from </w:t>
      </w:r>
      <w:hyperlink r:id="rId12" w:history="1">
        <w:r w:rsidRPr="003546F8">
          <w:rPr>
            <w:rStyle w:val="Hyperlink"/>
          </w:rPr>
          <w:t>https://www.R-project.org/</w:t>
        </w:r>
      </w:hyperlink>
    </w:p>
    <w:p w14:paraId="0F7C121C" w14:textId="3396E4AE" w:rsidR="003546F8" w:rsidRPr="003546F8" w:rsidRDefault="003546F8" w:rsidP="003546F8">
      <w:pPr>
        <w:pStyle w:val="EndNoteBibliography"/>
        <w:spacing w:after="0"/>
        <w:ind w:left="720" w:hanging="720"/>
      </w:pPr>
      <w:r w:rsidRPr="003546F8">
        <w:t xml:space="preserve">Rowland, F. E., Stow, C. A., Johnson, L. T., &amp; Hirsch, R. M. (2021). Lake Erie tributary nutrient trend evaluation: Normalizing concentrations and loads to reduce flow variability. </w:t>
      </w:r>
      <w:r w:rsidRPr="003546F8">
        <w:rPr>
          <w:i/>
        </w:rPr>
        <w:t>Ecological Indicators, 125</w:t>
      </w:r>
      <w:r w:rsidRPr="003546F8">
        <w:t>, 107601. doi:</w:t>
      </w:r>
      <w:hyperlink r:id="rId13" w:history="1">
        <w:r w:rsidRPr="003546F8">
          <w:rPr>
            <w:rStyle w:val="Hyperlink"/>
          </w:rPr>
          <w:t>https://doi.org/10.1016/j.ecolind.2021.107601</w:t>
        </w:r>
      </w:hyperlink>
    </w:p>
    <w:p w14:paraId="748ADDBF" w14:textId="77777777" w:rsidR="003546F8" w:rsidRPr="003546F8" w:rsidRDefault="003546F8" w:rsidP="003546F8">
      <w:pPr>
        <w:pStyle w:val="EndNoteBibliography"/>
        <w:spacing w:after="0"/>
        <w:ind w:left="720" w:hanging="720"/>
      </w:pPr>
      <w:r w:rsidRPr="003546F8">
        <w:t xml:space="preserve">Smith, D. R., King, K. W., &amp; Williams, M. R. (2015). What is causing the harmful algal blooms in Lake Erie? </w:t>
      </w:r>
      <w:r w:rsidRPr="003546F8">
        <w:rPr>
          <w:i/>
        </w:rPr>
        <w:t>Journal of Soil and Water Conservation, 70</w:t>
      </w:r>
      <w:r w:rsidRPr="003546F8">
        <w:t>(2), 27A-29A. doi:10.2489/jswc.70.2.27A</w:t>
      </w:r>
    </w:p>
    <w:p w14:paraId="2DE938C9" w14:textId="77777777" w:rsidR="003546F8" w:rsidRPr="003546F8" w:rsidRDefault="003546F8" w:rsidP="003546F8">
      <w:pPr>
        <w:pStyle w:val="EndNoteBibliography"/>
        <w:spacing w:after="0"/>
        <w:ind w:left="720" w:hanging="720"/>
      </w:pPr>
      <w:r w:rsidRPr="003546F8">
        <w:t xml:space="preserve">Sprague, L. A., Hirsch, R. M., &amp; Aulenbach, B. T. (2011). Nitrate in the Mississippi River and Its Tributaries, 1980 to 2008: Are We Making Progress? </w:t>
      </w:r>
      <w:r w:rsidRPr="003546F8">
        <w:rPr>
          <w:i/>
        </w:rPr>
        <w:t>Environmental science &amp; technology, 45</w:t>
      </w:r>
      <w:r w:rsidRPr="003546F8">
        <w:t>(17), 7209-7216. doi:10.1021/es201221s</w:t>
      </w:r>
    </w:p>
    <w:p w14:paraId="3B7CF5A3" w14:textId="77777777" w:rsidR="003546F8" w:rsidRPr="003546F8" w:rsidRDefault="003546F8" w:rsidP="003546F8">
      <w:pPr>
        <w:pStyle w:val="EndNoteBibliography"/>
        <w:ind w:left="720" w:hanging="720"/>
      </w:pPr>
      <w:r w:rsidRPr="003546F8">
        <w:t xml:space="preserve">Stackpoole, S., Sabo, R., Falcone, J., &amp; Sprague, L. (2021). Long-Term Mississippi River Trends Expose Shifts in the River Load Response to Watershed Nutrient Balances Between 1975 and 2017. </w:t>
      </w:r>
      <w:r w:rsidRPr="003546F8">
        <w:rPr>
          <w:i/>
        </w:rPr>
        <w:t>Water Resour Res, 57</w:t>
      </w:r>
      <w:r w:rsidRPr="003546F8">
        <w:t>(11), e2021WR030318. doi:10.1029/2021wr030318</w:t>
      </w:r>
    </w:p>
    <w:p w14:paraId="4B5E1FDD" w14:textId="5BD2A7D1" w:rsidR="00494CFD" w:rsidRPr="00134E80" w:rsidRDefault="00001EA6" w:rsidP="00134E80">
      <w:r>
        <w:fldChar w:fldCharType="end"/>
      </w:r>
    </w:p>
    <w:sectPr w:rsidR="00494CFD" w:rsidRPr="00134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556B"/>
    <w:multiLevelType w:val="hybridMultilevel"/>
    <w:tmpl w:val="66983600"/>
    <w:lvl w:ilvl="0" w:tplc="C9D479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82846"/>
    <w:multiLevelType w:val="hybridMultilevel"/>
    <w:tmpl w:val="68260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07BB1"/>
    <w:multiLevelType w:val="hybridMultilevel"/>
    <w:tmpl w:val="04E4DE7C"/>
    <w:lvl w:ilvl="0" w:tplc="DB8403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64D91"/>
    <w:multiLevelType w:val="multilevel"/>
    <w:tmpl w:val="A31CE03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9E1072B"/>
    <w:multiLevelType w:val="hybridMultilevel"/>
    <w:tmpl w:val="798E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676968"/>
    <w:multiLevelType w:val="hybridMultilevel"/>
    <w:tmpl w:val="E85CB2EE"/>
    <w:lvl w:ilvl="0" w:tplc="96386F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687021">
    <w:abstractNumId w:val="0"/>
  </w:num>
  <w:num w:numId="2" w16cid:durableId="464931883">
    <w:abstractNumId w:val="5"/>
  </w:num>
  <w:num w:numId="3" w16cid:durableId="1885096375">
    <w:abstractNumId w:val="2"/>
  </w:num>
  <w:num w:numId="4" w16cid:durableId="1855727854">
    <w:abstractNumId w:val="3"/>
  </w:num>
  <w:num w:numId="5" w16cid:durableId="1705212517">
    <w:abstractNumId w:val="1"/>
  </w:num>
  <w:num w:numId="6" w16cid:durableId="629818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f5p2xpuads9deaf5xvd2ri20s0at2spve5&quot;&gt;library&lt;record-ids&gt;&lt;item&gt;16859&lt;/item&gt;&lt;item&gt;16860&lt;/item&gt;&lt;item&gt;16865&lt;/item&gt;&lt;item&gt;16872&lt;/item&gt;&lt;item&gt;16888&lt;/item&gt;&lt;item&gt;16909&lt;/item&gt;&lt;item&gt;16918&lt;/item&gt;&lt;item&gt;16924&lt;/item&gt;&lt;item&gt;16934&lt;/item&gt;&lt;item&gt;16955&lt;/item&gt;&lt;item&gt;16956&lt;/item&gt;&lt;item&gt;16957&lt;/item&gt;&lt;item&gt;16958&lt;/item&gt;&lt;item&gt;16961&lt;/item&gt;&lt;item&gt;16962&lt;/item&gt;&lt;/record-ids&gt;&lt;/item&gt;&lt;/Libraries&gt;"/>
  </w:docVars>
  <w:rsids>
    <w:rsidRoot w:val="006028A4"/>
    <w:rsid w:val="00001EA6"/>
    <w:rsid w:val="00006456"/>
    <w:rsid w:val="00007012"/>
    <w:rsid w:val="00020458"/>
    <w:rsid w:val="00037B5E"/>
    <w:rsid w:val="00047F52"/>
    <w:rsid w:val="00072255"/>
    <w:rsid w:val="000C186C"/>
    <w:rsid w:val="00111D8F"/>
    <w:rsid w:val="0011336B"/>
    <w:rsid w:val="00116413"/>
    <w:rsid w:val="00134E80"/>
    <w:rsid w:val="00147BB0"/>
    <w:rsid w:val="001542C5"/>
    <w:rsid w:val="00173DE2"/>
    <w:rsid w:val="001B723E"/>
    <w:rsid w:val="001C2248"/>
    <w:rsid w:val="001F0266"/>
    <w:rsid w:val="001F4D6F"/>
    <w:rsid w:val="00237824"/>
    <w:rsid w:val="002A2836"/>
    <w:rsid w:val="002E206E"/>
    <w:rsid w:val="002E468A"/>
    <w:rsid w:val="00346E5A"/>
    <w:rsid w:val="003546F8"/>
    <w:rsid w:val="003867D1"/>
    <w:rsid w:val="003A52D0"/>
    <w:rsid w:val="00417D68"/>
    <w:rsid w:val="00421381"/>
    <w:rsid w:val="00445C64"/>
    <w:rsid w:val="00450C40"/>
    <w:rsid w:val="004536A7"/>
    <w:rsid w:val="00465B43"/>
    <w:rsid w:val="00467D4F"/>
    <w:rsid w:val="0047363D"/>
    <w:rsid w:val="004935D5"/>
    <w:rsid w:val="00494CFD"/>
    <w:rsid w:val="004B532F"/>
    <w:rsid w:val="004F5794"/>
    <w:rsid w:val="0051067E"/>
    <w:rsid w:val="00552A1A"/>
    <w:rsid w:val="00555C60"/>
    <w:rsid w:val="005642F2"/>
    <w:rsid w:val="00581A5E"/>
    <w:rsid w:val="005A62BC"/>
    <w:rsid w:val="005B122A"/>
    <w:rsid w:val="005D37F8"/>
    <w:rsid w:val="005D3F20"/>
    <w:rsid w:val="005E7D1F"/>
    <w:rsid w:val="005F342D"/>
    <w:rsid w:val="006019F7"/>
    <w:rsid w:val="0060240F"/>
    <w:rsid w:val="006028A4"/>
    <w:rsid w:val="0061184F"/>
    <w:rsid w:val="00613B84"/>
    <w:rsid w:val="00665B3B"/>
    <w:rsid w:val="00670D45"/>
    <w:rsid w:val="0069319F"/>
    <w:rsid w:val="006976C7"/>
    <w:rsid w:val="006A238A"/>
    <w:rsid w:val="006C528F"/>
    <w:rsid w:val="006E2C1C"/>
    <w:rsid w:val="006F4FBA"/>
    <w:rsid w:val="0071425D"/>
    <w:rsid w:val="007251AF"/>
    <w:rsid w:val="0073503F"/>
    <w:rsid w:val="007634A4"/>
    <w:rsid w:val="0076435D"/>
    <w:rsid w:val="0078110D"/>
    <w:rsid w:val="007913DC"/>
    <w:rsid w:val="00796E8D"/>
    <w:rsid w:val="007A7929"/>
    <w:rsid w:val="007C0466"/>
    <w:rsid w:val="007C6249"/>
    <w:rsid w:val="007D01A0"/>
    <w:rsid w:val="007E31AC"/>
    <w:rsid w:val="00817095"/>
    <w:rsid w:val="00823EFB"/>
    <w:rsid w:val="00832C39"/>
    <w:rsid w:val="008547C1"/>
    <w:rsid w:val="0085588B"/>
    <w:rsid w:val="0086141C"/>
    <w:rsid w:val="00862EAA"/>
    <w:rsid w:val="00880B5B"/>
    <w:rsid w:val="00880CF0"/>
    <w:rsid w:val="008A7740"/>
    <w:rsid w:val="008E5555"/>
    <w:rsid w:val="008E6F55"/>
    <w:rsid w:val="00914D50"/>
    <w:rsid w:val="00954666"/>
    <w:rsid w:val="0097545F"/>
    <w:rsid w:val="00987E2F"/>
    <w:rsid w:val="00990397"/>
    <w:rsid w:val="009A5F0C"/>
    <w:rsid w:val="009E4B95"/>
    <w:rsid w:val="009F5F35"/>
    <w:rsid w:val="00A21595"/>
    <w:rsid w:val="00A27493"/>
    <w:rsid w:val="00A3285A"/>
    <w:rsid w:val="00A45C64"/>
    <w:rsid w:val="00A4731C"/>
    <w:rsid w:val="00A9135C"/>
    <w:rsid w:val="00AB4E67"/>
    <w:rsid w:val="00AE17A6"/>
    <w:rsid w:val="00AF524C"/>
    <w:rsid w:val="00B04CD5"/>
    <w:rsid w:val="00B24DA9"/>
    <w:rsid w:val="00B26EFA"/>
    <w:rsid w:val="00B34DD4"/>
    <w:rsid w:val="00B3565A"/>
    <w:rsid w:val="00B40330"/>
    <w:rsid w:val="00B63652"/>
    <w:rsid w:val="00B70EC6"/>
    <w:rsid w:val="00BA6480"/>
    <w:rsid w:val="00BB60DF"/>
    <w:rsid w:val="00BD0587"/>
    <w:rsid w:val="00BD53EA"/>
    <w:rsid w:val="00BE47A0"/>
    <w:rsid w:val="00BE736F"/>
    <w:rsid w:val="00BF4989"/>
    <w:rsid w:val="00BF765F"/>
    <w:rsid w:val="00C073F9"/>
    <w:rsid w:val="00C21A9D"/>
    <w:rsid w:val="00C32B3F"/>
    <w:rsid w:val="00C43D60"/>
    <w:rsid w:val="00C5354B"/>
    <w:rsid w:val="00C5674C"/>
    <w:rsid w:val="00C56C5D"/>
    <w:rsid w:val="00C76EE7"/>
    <w:rsid w:val="00C940D8"/>
    <w:rsid w:val="00CB1662"/>
    <w:rsid w:val="00CD2E89"/>
    <w:rsid w:val="00CE2459"/>
    <w:rsid w:val="00D22C5D"/>
    <w:rsid w:val="00D37403"/>
    <w:rsid w:val="00D4064D"/>
    <w:rsid w:val="00D44EA0"/>
    <w:rsid w:val="00D623F7"/>
    <w:rsid w:val="00D66B82"/>
    <w:rsid w:val="00D70C40"/>
    <w:rsid w:val="00D9268F"/>
    <w:rsid w:val="00DA5CCF"/>
    <w:rsid w:val="00DE55A7"/>
    <w:rsid w:val="00DF2E13"/>
    <w:rsid w:val="00E226F8"/>
    <w:rsid w:val="00E24710"/>
    <w:rsid w:val="00E42991"/>
    <w:rsid w:val="00E84107"/>
    <w:rsid w:val="00ED0138"/>
    <w:rsid w:val="00ED6FF0"/>
    <w:rsid w:val="00ED74D5"/>
    <w:rsid w:val="00EE6865"/>
    <w:rsid w:val="00F21C60"/>
    <w:rsid w:val="00F507B2"/>
    <w:rsid w:val="00F62E8C"/>
    <w:rsid w:val="00FA05EC"/>
    <w:rsid w:val="00FB6C46"/>
    <w:rsid w:val="00FC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78BE"/>
  <w15:chartTrackingRefBased/>
  <w15:docId w15:val="{F5883C0C-ED03-4E34-B4CA-7A1D0DD9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2AF"/>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60DF"/>
    <w:pPr>
      <w:keepNext/>
      <w:keepLines/>
      <w:numPr>
        <w:numId w:val="4"/>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C32AF"/>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C32AF"/>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BB60DF"/>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60DF"/>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B60DF"/>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B60DF"/>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B60D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60D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248"/>
    <w:pPr>
      <w:ind w:left="720"/>
      <w:contextualSpacing/>
    </w:pPr>
  </w:style>
  <w:style w:type="character" w:customStyle="1" w:styleId="Heading1Char">
    <w:name w:val="Heading 1 Char"/>
    <w:basedOn w:val="DefaultParagraphFont"/>
    <w:link w:val="Heading1"/>
    <w:uiPriority w:val="9"/>
    <w:rsid w:val="00BB60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C32AF"/>
    <w:rPr>
      <w:rFonts w:ascii="Times New Roman" w:eastAsiaTheme="majorEastAsia" w:hAnsi="Times New Roman" w:cstheme="majorBidi"/>
      <w:sz w:val="26"/>
      <w:szCs w:val="26"/>
    </w:rPr>
  </w:style>
  <w:style w:type="table" w:styleId="TableGrid">
    <w:name w:val="Table Grid"/>
    <w:basedOn w:val="TableNormal"/>
    <w:uiPriority w:val="39"/>
    <w:rsid w:val="00B40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01EA6"/>
    <w:pPr>
      <w:spacing w:after="0" w:line="240" w:lineRule="auto"/>
      <w:contextualSpacing/>
    </w:pPr>
    <w:rPr>
      <w:rFonts w:ascii="Times New Roman Bold" w:eastAsiaTheme="majorEastAsia" w:hAnsi="Times New Roman Bold" w:cstheme="majorBidi"/>
      <w:b/>
      <w:smallCaps/>
      <w:spacing w:val="-10"/>
      <w:kern w:val="28"/>
      <w:sz w:val="36"/>
      <w:szCs w:val="56"/>
    </w:rPr>
  </w:style>
  <w:style w:type="character" w:customStyle="1" w:styleId="TitleChar">
    <w:name w:val="Title Char"/>
    <w:basedOn w:val="DefaultParagraphFont"/>
    <w:link w:val="Title"/>
    <w:uiPriority w:val="10"/>
    <w:rsid w:val="00001EA6"/>
    <w:rPr>
      <w:rFonts w:ascii="Times New Roman Bold" w:eastAsiaTheme="majorEastAsia" w:hAnsi="Times New Roman Bold" w:cstheme="majorBidi"/>
      <w:b/>
      <w:smallCaps/>
      <w:spacing w:val="-10"/>
      <w:kern w:val="28"/>
      <w:sz w:val="36"/>
      <w:szCs w:val="56"/>
    </w:rPr>
  </w:style>
  <w:style w:type="paragraph" w:customStyle="1" w:styleId="EndNoteBibliographyTitle">
    <w:name w:val="EndNote Bibliography Title"/>
    <w:basedOn w:val="Normal"/>
    <w:link w:val="EndNoteBibliographyTitleChar"/>
    <w:rsid w:val="00001EA6"/>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001EA6"/>
    <w:rPr>
      <w:rFonts w:ascii="Times New Roman" w:hAnsi="Times New Roman" w:cs="Times New Roman"/>
      <w:noProof/>
      <w:sz w:val="24"/>
    </w:rPr>
  </w:style>
  <w:style w:type="paragraph" w:customStyle="1" w:styleId="EndNoteBibliography">
    <w:name w:val="EndNote Bibliography"/>
    <w:basedOn w:val="Normal"/>
    <w:link w:val="EndNoteBibliographyChar"/>
    <w:rsid w:val="00001EA6"/>
    <w:pPr>
      <w:spacing w:line="240" w:lineRule="auto"/>
    </w:pPr>
    <w:rPr>
      <w:rFonts w:cs="Times New Roman"/>
      <w:noProof/>
    </w:rPr>
  </w:style>
  <w:style w:type="character" w:customStyle="1" w:styleId="EndNoteBibliographyChar">
    <w:name w:val="EndNote Bibliography Char"/>
    <w:basedOn w:val="DefaultParagraphFont"/>
    <w:link w:val="EndNoteBibliography"/>
    <w:rsid w:val="00001EA6"/>
    <w:rPr>
      <w:rFonts w:ascii="Times New Roman" w:hAnsi="Times New Roman" w:cs="Times New Roman"/>
      <w:noProof/>
      <w:sz w:val="24"/>
    </w:rPr>
  </w:style>
  <w:style w:type="character" w:styleId="Hyperlink">
    <w:name w:val="Hyperlink"/>
    <w:basedOn w:val="DefaultParagraphFont"/>
    <w:uiPriority w:val="99"/>
    <w:unhideWhenUsed/>
    <w:rsid w:val="00001EA6"/>
    <w:rPr>
      <w:color w:val="0563C1" w:themeColor="hyperlink"/>
      <w:u w:val="single"/>
    </w:rPr>
  </w:style>
  <w:style w:type="character" w:styleId="UnresolvedMention">
    <w:name w:val="Unresolved Mention"/>
    <w:basedOn w:val="DefaultParagraphFont"/>
    <w:uiPriority w:val="99"/>
    <w:semiHidden/>
    <w:unhideWhenUsed/>
    <w:rsid w:val="00001EA6"/>
    <w:rPr>
      <w:color w:val="605E5C"/>
      <w:shd w:val="clear" w:color="auto" w:fill="E1DFDD"/>
    </w:rPr>
  </w:style>
  <w:style w:type="character" w:customStyle="1" w:styleId="Heading3Char">
    <w:name w:val="Heading 3 Char"/>
    <w:basedOn w:val="DefaultParagraphFont"/>
    <w:link w:val="Heading3"/>
    <w:uiPriority w:val="9"/>
    <w:rsid w:val="00FC32AF"/>
    <w:rPr>
      <w:rFonts w:ascii="Times New Roman" w:eastAsiaTheme="majorEastAsia" w:hAnsi="Times New Roman" w:cstheme="majorBidi"/>
      <w:sz w:val="24"/>
      <w:szCs w:val="24"/>
    </w:rPr>
  </w:style>
  <w:style w:type="character" w:styleId="PlaceholderText">
    <w:name w:val="Placeholder Text"/>
    <w:basedOn w:val="DefaultParagraphFont"/>
    <w:uiPriority w:val="99"/>
    <w:semiHidden/>
    <w:rsid w:val="00B04CD5"/>
    <w:rPr>
      <w:color w:val="808080"/>
    </w:rPr>
  </w:style>
  <w:style w:type="paragraph" w:styleId="Caption">
    <w:name w:val="caption"/>
    <w:basedOn w:val="Normal"/>
    <w:next w:val="Normal"/>
    <w:uiPriority w:val="35"/>
    <w:unhideWhenUsed/>
    <w:qFormat/>
    <w:rsid w:val="0051067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BB60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B60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B60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B60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B60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60DF"/>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670D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E73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254">
      <w:bodyDiv w:val="1"/>
      <w:marLeft w:val="0"/>
      <w:marRight w:val="0"/>
      <w:marTop w:val="0"/>
      <w:marBottom w:val="0"/>
      <w:divBdr>
        <w:top w:val="none" w:sz="0" w:space="0" w:color="auto"/>
        <w:left w:val="none" w:sz="0" w:space="0" w:color="auto"/>
        <w:bottom w:val="none" w:sz="0" w:space="0" w:color="auto"/>
        <w:right w:val="none" w:sz="0" w:space="0" w:color="auto"/>
      </w:divBdr>
    </w:div>
    <w:div w:id="41101715">
      <w:bodyDiv w:val="1"/>
      <w:marLeft w:val="0"/>
      <w:marRight w:val="0"/>
      <w:marTop w:val="0"/>
      <w:marBottom w:val="0"/>
      <w:divBdr>
        <w:top w:val="none" w:sz="0" w:space="0" w:color="auto"/>
        <w:left w:val="none" w:sz="0" w:space="0" w:color="auto"/>
        <w:bottom w:val="none" w:sz="0" w:space="0" w:color="auto"/>
        <w:right w:val="none" w:sz="0" w:space="0" w:color="auto"/>
      </w:divBdr>
    </w:div>
    <w:div w:id="294217573">
      <w:bodyDiv w:val="1"/>
      <w:marLeft w:val="0"/>
      <w:marRight w:val="0"/>
      <w:marTop w:val="0"/>
      <w:marBottom w:val="0"/>
      <w:divBdr>
        <w:top w:val="none" w:sz="0" w:space="0" w:color="auto"/>
        <w:left w:val="none" w:sz="0" w:space="0" w:color="auto"/>
        <w:bottom w:val="none" w:sz="0" w:space="0" w:color="auto"/>
        <w:right w:val="none" w:sz="0" w:space="0" w:color="auto"/>
      </w:divBdr>
    </w:div>
    <w:div w:id="440955908">
      <w:bodyDiv w:val="1"/>
      <w:marLeft w:val="0"/>
      <w:marRight w:val="0"/>
      <w:marTop w:val="0"/>
      <w:marBottom w:val="0"/>
      <w:divBdr>
        <w:top w:val="none" w:sz="0" w:space="0" w:color="auto"/>
        <w:left w:val="none" w:sz="0" w:space="0" w:color="auto"/>
        <w:bottom w:val="none" w:sz="0" w:space="0" w:color="auto"/>
        <w:right w:val="none" w:sz="0" w:space="0" w:color="auto"/>
      </w:divBdr>
    </w:div>
    <w:div w:id="518087269">
      <w:bodyDiv w:val="1"/>
      <w:marLeft w:val="0"/>
      <w:marRight w:val="0"/>
      <w:marTop w:val="0"/>
      <w:marBottom w:val="0"/>
      <w:divBdr>
        <w:top w:val="none" w:sz="0" w:space="0" w:color="auto"/>
        <w:left w:val="none" w:sz="0" w:space="0" w:color="auto"/>
        <w:bottom w:val="none" w:sz="0" w:space="0" w:color="auto"/>
        <w:right w:val="none" w:sz="0" w:space="0" w:color="auto"/>
      </w:divBdr>
    </w:div>
    <w:div w:id="530730630">
      <w:bodyDiv w:val="1"/>
      <w:marLeft w:val="0"/>
      <w:marRight w:val="0"/>
      <w:marTop w:val="0"/>
      <w:marBottom w:val="0"/>
      <w:divBdr>
        <w:top w:val="none" w:sz="0" w:space="0" w:color="auto"/>
        <w:left w:val="none" w:sz="0" w:space="0" w:color="auto"/>
        <w:bottom w:val="none" w:sz="0" w:space="0" w:color="auto"/>
        <w:right w:val="none" w:sz="0" w:space="0" w:color="auto"/>
      </w:divBdr>
    </w:div>
    <w:div w:id="601376709">
      <w:bodyDiv w:val="1"/>
      <w:marLeft w:val="0"/>
      <w:marRight w:val="0"/>
      <w:marTop w:val="0"/>
      <w:marBottom w:val="0"/>
      <w:divBdr>
        <w:top w:val="none" w:sz="0" w:space="0" w:color="auto"/>
        <w:left w:val="none" w:sz="0" w:space="0" w:color="auto"/>
        <w:bottom w:val="none" w:sz="0" w:space="0" w:color="auto"/>
        <w:right w:val="none" w:sz="0" w:space="0" w:color="auto"/>
      </w:divBdr>
    </w:div>
    <w:div w:id="657534987">
      <w:bodyDiv w:val="1"/>
      <w:marLeft w:val="0"/>
      <w:marRight w:val="0"/>
      <w:marTop w:val="0"/>
      <w:marBottom w:val="0"/>
      <w:divBdr>
        <w:top w:val="none" w:sz="0" w:space="0" w:color="auto"/>
        <w:left w:val="none" w:sz="0" w:space="0" w:color="auto"/>
        <w:bottom w:val="none" w:sz="0" w:space="0" w:color="auto"/>
        <w:right w:val="none" w:sz="0" w:space="0" w:color="auto"/>
      </w:divBdr>
    </w:div>
    <w:div w:id="666791710">
      <w:bodyDiv w:val="1"/>
      <w:marLeft w:val="0"/>
      <w:marRight w:val="0"/>
      <w:marTop w:val="0"/>
      <w:marBottom w:val="0"/>
      <w:divBdr>
        <w:top w:val="none" w:sz="0" w:space="0" w:color="auto"/>
        <w:left w:val="none" w:sz="0" w:space="0" w:color="auto"/>
        <w:bottom w:val="none" w:sz="0" w:space="0" w:color="auto"/>
        <w:right w:val="none" w:sz="0" w:space="0" w:color="auto"/>
      </w:divBdr>
    </w:div>
    <w:div w:id="688802575">
      <w:bodyDiv w:val="1"/>
      <w:marLeft w:val="0"/>
      <w:marRight w:val="0"/>
      <w:marTop w:val="0"/>
      <w:marBottom w:val="0"/>
      <w:divBdr>
        <w:top w:val="none" w:sz="0" w:space="0" w:color="auto"/>
        <w:left w:val="none" w:sz="0" w:space="0" w:color="auto"/>
        <w:bottom w:val="none" w:sz="0" w:space="0" w:color="auto"/>
        <w:right w:val="none" w:sz="0" w:space="0" w:color="auto"/>
      </w:divBdr>
    </w:div>
    <w:div w:id="872352619">
      <w:bodyDiv w:val="1"/>
      <w:marLeft w:val="0"/>
      <w:marRight w:val="0"/>
      <w:marTop w:val="0"/>
      <w:marBottom w:val="0"/>
      <w:divBdr>
        <w:top w:val="none" w:sz="0" w:space="0" w:color="auto"/>
        <w:left w:val="none" w:sz="0" w:space="0" w:color="auto"/>
        <w:bottom w:val="none" w:sz="0" w:space="0" w:color="auto"/>
        <w:right w:val="none" w:sz="0" w:space="0" w:color="auto"/>
      </w:divBdr>
    </w:div>
    <w:div w:id="1089693109">
      <w:bodyDiv w:val="1"/>
      <w:marLeft w:val="0"/>
      <w:marRight w:val="0"/>
      <w:marTop w:val="0"/>
      <w:marBottom w:val="0"/>
      <w:divBdr>
        <w:top w:val="none" w:sz="0" w:space="0" w:color="auto"/>
        <w:left w:val="none" w:sz="0" w:space="0" w:color="auto"/>
        <w:bottom w:val="none" w:sz="0" w:space="0" w:color="auto"/>
        <w:right w:val="none" w:sz="0" w:space="0" w:color="auto"/>
      </w:divBdr>
    </w:div>
    <w:div w:id="1106000622">
      <w:bodyDiv w:val="1"/>
      <w:marLeft w:val="0"/>
      <w:marRight w:val="0"/>
      <w:marTop w:val="0"/>
      <w:marBottom w:val="0"/>
      <w:divBdr>
        <w:top w:val="none" w:sz="0" w:space="0" w:color="auto"/>
        <w:left w:val="none" w:sz="0" w:space="0" w:color="auto"/>
        <w:bottom w:val="none" w:sz="0" w:space="0" w:color="auto"/>
        <w:right w:val="none" w:sz="0" w:space="0" w:color="auto"/>
      </w:divBdr>
    </w:div>
    <w:div w:id="1146967521">
      <w:bodyDiv w:val="1"/>
      <w:marLeft w:val="0"/>
      <w:marRight w:val="0"/>
      <w:marTop w:val="0"/>
      <w:marBottom w:val="0"/>
      <w:divBdr>
        <w:top w:val="none" w:sz="0" w:space="0" w:color="auto"/>
        <w:left w:val="none" w:sz="0" w:space="0" w:color="auto"/>
        <w:bottom w:val="none" w:sz="0" w:space="0" w:color="auto"/>
        <w:right w:val="none" w:sz="0" w:space="0" w:color="auto"/>
      </w:divBdr>
    </w:div>
    <w:div w:id="1187983768">
      <w:bodyDiv w:val="1"/>
      <w:marLeft w:val="0"/>
      <w:marRight w:val="0"/>
      <w:marTop w:val="0"/>
      <w:marBottom w:val="0"/>
      <w:divBdr>
        <w:top w:val="none" w:sz="0" w:space="0" w:color="auto"/>
        <w:left w:val="none" w:sz="0" w:space="0" w:color="auto"/>
        <w:bottom w:val="none" w:sz="0" w:space="0" w:color="auto"/>
        <w:right w:val="none" w:sz="0" w:space="0" w:color="auto"/>
      </w:divBdr>
    </w:div>
    <w:div w:id="1202590732">
      <w:bodyDiv w:val="1"/>
      <w:marLeft w:val="0"/>
      <w:marRight w:val="0"/>
      <w:marTop w:val="0"/>
      <w:marBottom w:val="0"/>
      <w:divBdr>
        <w:top w:val="none" w:sz="0" w:space="0" w:color="auto"/>
        <w:left w:val="none" w:sz="0" w:space="0" w:color="auto"/>
        <w:bottom w:val="none" w:sz="0" w:space="0" w:color="auto"/>
        <w:right w:val="none" w:sz="0" w:space="0" w:color="auto"/>
      </w:divBdr>
    </w:div>
    <w:div w:id="1222016189">
      <w:bodyDiv w:val="1"/>
      <w:marLeft w:val="0"/>
      <w:marRight w:val="0"/>
      <w:marTop w:val="0"/>
      <w:marBottom w:val="0"/>
      <w:divBdr>
        <w:top w:val="none" w:sz="0" w:space="0" w:color="auto"/>
        <w:left w:val="none" w:sz="0" w:space="0" w:color="auto"/>
        <w:bottom w:val="none" w:sz="0" w:space="0" w:color="auto"/>
        <w:right w:val="none" w:sz="0" w:space="0" w:color="auto"/>
      </w:divBdr>
    </w:div>
    <w:div w:id="1239902713">
      <w:bodyDiv w:val="1"/>
      <w:marLeft w:val="0"/>
      <w:marRight w:val="0"/>
      <w:marTop w:val="0"/>
      <w:marBottom w:val="0"/>
      <w:divBdr>
        <w:top w:val="none" w:sz="0" w:space="0" w:color="auto"/>
        <w:left w:val="none" w:sz="0" w:space="0" w:color="auto"/>
        <w:bottom w:val="none" w:sz="0" w:space="0" w:color="auto"/>
        <w:right w:val="none" w:sz="0" w:space="0" w:color="auto"/>
      </w:divBdr>
    </w:div>
    <w:div w:id="1355882112">
      <w:bodyDiv w:val="1"/>
      <w:marLeft w:val="0"/>
      <w:marRight w:val="0"/>
      <w:marTop w:val="0"/>
      <w:marBottom w:val="0"/>
      <w:divBdr>
        <w:top w:val="none" w:sz="0" w:space="0" w:color="auto"/>
        <w:left w:val="none" w:sz="0" w:space="0" w:color="auto"/>
        <w:bottom w:val="none" w:sz="0" w:space="0" w:color="auto"/>
        <w:right w:val="none" w:sz="0" w:space="0" w:color="auto"/>
      </w:divBdr>
    </w:div>
    <w:div w:id="1480728421">
      <w:bodyDiv w:val="1"/>
      <w:marLeft w:val="0"/>
      <w:marRight w:val="0"/>
      <w:marTop w:val="0"/>
      <w:marBottom w:val="0"/>
      <w:divBdr>
        <w:top w:val="none" w:sz="0" w:space="0" w:color="auto"/>
        <w:left w:val="none" w:sz="0" w:space="0" w:color="auto"/>
        <w:bottom w:val="none" w:sz="0" w:space="0" w:color="auto"/>
        <w:right w:val="none" w:sz="0" w:space="0" w:color="auto"/>
      </w:divBdr>
    </w:div>
    <w:div w:id="1795320906">
      <w:bodyDiv w:val="1"/>
      <w:marLeft w:val="0"/>
      <w:marRight w:val="0"/>
      <w:marTop w:val="0"/>
      <w:marBottom w:val="0"/>
      <w:divBdr>
        <w:top w:val="none" w:sz="0" w:space="0" w:color="auto"/>
        <w:left w:val="none" w:sz="0" w:space="0" w:color="auto"/>
        <w:bottom w:val="none" w:sz="0" w:space="0" w:color="auto"/>
        <w:right w:val="none" w:sz="0" w:space="0" w:color="auto"/>
      </w:divBdr>
    </w:div>
    <w:div w:id="1805348887">
      <w:bodyDiv w:val="1"/>
      <w:marLeft w:val="0"/>
      <w:marRight w:val="0"/>
      <w:marTop w:val="0"/>
      <w:marBottom w:val="0"/>
      <w:divBdr>
        <w:top w:val="none" w:sz="0" w:space="0" w:color="auto"/>
        <w:left w:val="none" w:sz="0" w:space="0" w:color="auto"/>
        <w:bottom w:val="none" w:sz="0" w:space="0" w:color="auto"/>
        <w:right w:val="none" w:sz="0" w:space="0" w:color="auto"/>
      </w:divBdr>
    </w:div>
    <w:div w:id="1933931086">
      <w:bodyDiv w:val="1"/>
      <w:marLeft w:val="0"/>
      <w:marRight w:val="0"/>
      <w:marTop w:val="0"/>
      <w:marBottom w:val="0"/>
      <w:divBdr>
        <w:top w:val="none" w:sz="0" w:space="0" w:color="auto"/>
        <w:left w:val="none" w:sz="0" w:space="0" w:color="auto"/>
        <w:bottom w:val="none" w:sz="0" w:space="0" w:color="auto"/>
        <w:right w:val="none" w:sz="0" w:space="0" w:color="auto"/>
      </w:divBdr>
    </w:div>
    <w:div w:id="1969117004">
      <w:bodyDiv w:val="1"/>
      <w:marLeft w:val="0"/>
      <w:marRight w:val="0"/>
      <w:marTop w:val="0"/>
      <w:marBottom w:val="0"/>
      <w:divBdr>
        <w:top w:val="none" w:sz="0" w:space="0" w:color="auto"/>
        <w:left w:val="none" w:sz="0" w:space="0" w:color="auto"/>
        <w:bottom w:val="none" w:sz="0" w:space="0" w:color="auto"/>
        <w:right w:val="none" w:sz="0" w:space="0" w:color="auto"/>
      </w:divBdr>
    </w:div>
    <w:div w:id="2007629865">
      <w:bodyDiv w:val="1"/>
      <w:marLeft w:val="0"/>
      <w:marRight w:val="0"/>
      <w:marTop w:val="0"/>
      <w:marBottom w:val="0"/>
      <w:divBdr>
        <w:top w:val="none" w:sz="0" w:space="0" w:color="auto"/>
        <w:left w:val="none" w:sz="0" w:space="0" w:color="auto"/>
        <w:bottom w:val="none" w:sz="0" w:space="0" w:color="auto"/>
        <w:right w:val="none" w:sz="0" w:space="0" w:color="auto"/>
      </w:divBdr>
    </w:div>
    <w:div w:id="2079597764">
      <w:bodyDiv w:val="1"/>
      <w:marLeft w:val="0"/>
      <w:marRight w:val="0"/>
      <w:marTop w:val="0"/>
      <w:marBottom w:val="0"/>
      <w:divBdr>
        <w:top w:val="none" w:sz="0" w:space="0" w:color="auto"/>
        <w:left w:val="none" w:sz="0" w:space="0" w:color="auto"/>
        <w:bottom w:val="none" w:sz="0" w:space="0" w:color="auto"/>
        <w:right w:val="none" w:sz="0" w:space="0" w:color="auto"/>
      </w:divBdr>
    </w:div>
    <w:div w:id="20947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s.er.usgs.gov/publication/sir20235003" TargetMode="External"/><Relationship Id="rId13" Type="http://schemas.openxmlformats.org/officeDocument/2006/relationships/hyperlink" Target="https://doi.org/10.1016/j.ecolind.2021.107601" TargetMode="External"/><Relationship Id="rId3" Type="http://schemas.openxmlformats.org/officeDocument/2006/relationships/styles" Target="styles.xml"/><Relationship Id="rId7" Type="http://schemas.openxmlformats.org/officeDocument/2006/relationships/hyperlink" Target="https://doi.org/10.1016/j.jglr.2014.05.001" TargetMode="External"/><Relationship Id="rId12" Type="http://schemas.openxmlformats.org/officeDocument/2006/relationships/hyperlink" Target="https://www.R-projec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5281/zenodo.660695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11/j.1752-1688.2010.00482.x" TargetMode="External"/><Relationship Id="rId4" Type="http://schemas.openxmlformats.org/officeDocument/2006/relationships/settings" Target="settings.xml"/><Relationship Id="rId9" Type="http://schemas.openxmlformats.org/officeDocument/2006/relationships/hyperlink" Target="https://doi.org/10.1016/j.envsoft.2015.07.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CD32B-1DB0-4211-A763-727BF8D1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19</Pages>
  <Words>6226</Words>
  <Characters>35494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Kamrath, Brock</dc:creator>
  <cp:keywords/>
  <dc:description/>
  <cp:lastModifiedBy>Kamrath, Brock</cp:lastModifiedBy>
  <cp:revision>10</cp:revision>
  <dcterms:created xsi:type="dcterms:W3CDTF">2023-08-25T19:57:00Z</dcterms:created>
  <dcterms:modified xsi:type="dcterms:W3CDTF">2023-09-13T21:01:00Z</dcterms:modified>
</cp:coreProperties>
</file>