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1A72" w14:textId="32AFF519" w:rsidR="00001EA6" w:rsidRDefault="00290695" w:rsidP="00001EA6">
      <w:pPr>
        <w:pStyle w:val="Title"/>
      </w:pPr>
      <w:r>
        <w:t>phosphorus</w:t>
      </w:r>
      <w:r w:rsidR="00D4064D">
        <w:t xml:space="preserve"> </w:t>
      </w:r>
      <w:r w:rsidR="00512084">
        <w:t xml:space="preserve">concentration and load changes </w:t>
      </w:r>
      <w:r w:rsidR="00001EA6">
        <w:t xml:space="preserve">in </w:t>
      </w:r>
      <w:r w:rsidR="00D4064D">
        <w:t>the Western Lake Erie Basin</w:t>
      </w:r>
      <w:r>
        <w:t xml:space="preserve"> under </w:t>
      </w:r>
      <w:r w:rsidR="00512084">
        <w:t>recent</w:t>
      </w:r>
      <w:r w:rsidR="00117C88">
        <w:t xml:space="preserve"> </w:t>
      </w:r>
      <w:r>
        <w:t xml:space="preserve">nutrient management </w:t>
      </w:r>
      <w:r w:rsidR="00060133">
        <w:t>regulations</w:t>
      </w:r>
    </w:p>
    <w:p w14:paraId="0A814263" w14:textId="77777777" w:rsidR="00001EA6" w:rsidRPr="00723765" w:rsidRDefault="00001EA6" w:rsidP="00001EA6"/>
    <w:p w14:paraId="1BDC8192" w14:textId="77777777" w:rsidR="00001EA6" w:rsidRPr="00C720DA" w:rsidRDefault="00001EA6" w:rsidP="00001EA6">
      <w:pPr>
        <w:spacing w:after="120" w:line="240" w:lineRule="auto"/>
        <w:jc w:val="center"/>
        <w:rPr>
          <w:rFonts w:cs="Times New Roman"/>
          <w:sz w:val="20"/>
          <w:szCs w:val="20"/>
          <w:vertAlign w:val="superscript"/>
        </w:rPr>
      </w:pPr>
      <w:bookmarkStart w:id="0" w:name="_Hlk127450502"/>
      <w:r w:rsidRPr="00C720DA">
        <w:rPr>
          <w:rFonts w:cs="Times New Roman"/>
          <w:sz w:val="20"/>
          <w:szCs w:val="20"/>
        </w:rPr>
        <w:t xml:space="preserve">Brock </w:t>
      </w:r>
      <w:proofErr w:type="spellStart"/>
      <w:r w:rsidRPr="00C720DA">
        <w:rPr>
          <w:rFonts w:cs="Times New Roman"/>
          <w:sz w:val="20"/>
          <w:szCs w:val="20"/>
        </w:rPr>
        <w:t>Kamrath</w:t>
      </w:r>
      <w:r w:rsidRPr="00C720DA">
        <w:rPr>
          <w:rFonts w:cs="Times New Roman"/>
          <w:sz w:val="20"/>
          <w:szCs w:val="20"/>
          <w:vertAlign w:val="superscript"/>
        </w:rPr>
        <w:t>a</w:t>
      </w:r>
      <w:proofErr w:type="spellEnd"/>
      <w:r w:rsidRPr="00C720DA">
        <w:rPr>
          <w:rFonts w:cs="Times New Roman"/>
          <w:sz w:val="20"/>
          <w:szCs w:val="20"/>
        </w:rPr>
        <w:t xml:space="preserve"> and Yongping </w:t>
      </w:r>
      <w:proofErr w:type="spellStart"/>
      <w:r w:rsidRPr="00C720DA">
        <w:rPr>
          <w:rFonts w:cs="Times New Roman"/>
          <w:sz w:val="20"/>
          <w:szCs w:val="20"/>
        </w:rPr>
        <w:t>Yuan</w:t>
      </w:r>
      <w:r w:rsidRPr="00C720DA">
        <w:rPr>
          <w:rFonts w:cs="Times New Roman"/>
          <w:sz w:val="20"/>
          <w:szCs w:val="20"/>
          <w:vertAlign w:val="superscript"/>
        </w:rPr>
        <w:t>b</w:t>
      </w:r>
      <w:proofErr w:type="spellEnd"/>
      <w:r w:rsidRPr="00C720DA">
        <w:rPr>
          <w:rFonts w:cs="Times New Roman"/>
          <w:sz w:val="20"/>
          <w:szCs w:val="20"/>
          <w:vertAlign w:val="superscript"/>
        </w:rPr>
        <w:t>, *</w:t>
      </w:r>
      <w:r w:rsidRPr="00C720DA">
        <w:rPr>
          <w:rFonts w:cs="Times New Roman"/>
          <w:sz w:val="20"/>
          <w:szCs w:val="20"/>
        </w:rPr>
        <w:t xml:space="preserve"> </w:t>
      </w:r>
    </w:p>
    <w:p w14:paraId="75637AF4" w14:textId="77777777" w:rsidR="00001EA6" w:rsidRPr="00C720DA" w:rsidRDefault="00001EA6" w:rsidP="00001EA6">
      <w:pPr>
        <w:spacing w:after="120" w:line="240" w:lineRule="auto"/>
        <w:jc w:val="center"/>
        <w:rPr>
          <w:rFonts w:cs="Times New Roman"/>
          <w:sz w:val="20"/>
          <w:szCs w:val="20"/>
          <w:vertAlign w:val="superscript"/>
        </w:rPr>
      </w:pPr>
    </w:p>
    <w:p w14:paraId="0470D655" w14:textId="77777777" w:rsidR="00001EA6" w:rsidRPr="00C720DA" w:rsidRDefault="00001EA6" w:rsidP="00001EA6">
      <w:pPr>
        <w:spacing w:after="120" w:line="240" w:lineRule="auto"/>
        <w:jc w:val="center"/>
        <w:rPr>
          <w:rFonts w:cs="Times New Roman"/>
          <w:sz w:val="20"/>
          <w:szCs w:val="20"/>
          <w:vertAlign w:val="superscript"/>
        </w:rPr>
      </w:pPr>
    </w:p>
    <w:p w14:paraId="77DB3FBC" w14:textId="77777777" w:rsidR="00001EA6" w:rsidRPr="00C720DA" w:rsidRDefault="00001EA6" w:rsidP="00001EA6">
      <w:pPr>
        <w:spacing w:after="120" w:line="240" w:lineRule="auto"/>
        <w:jc w:val="center"/>
        <w:rPr>
          <w:rFonts w:cs="Times New Roman"/>
          <w:sz w:val="20"/>
          <w:szCs w:val="20"/>
        </w:rPr>
      </w:pPr>
      <w:proofErr w:type="spellStart"/>
      <w:r w:rsidRPr="00C720DA">
        <w:rPr>
          <w:rFonts w:cs="Times New Roman"/>
          <w:sz w:val="20"/>
          <w:szCs w:val="20"/>
          <w:vertAlign w:val="superscript"/>
        </w:rPr>
        <w:t>a</w:t>
      </w:r>
      <w:r w:rsidRPr="00C720DA">
        <w:rPr>
          <w:rFonts w:cs="Times New Roman"/>
          <w:sz w:val="20"/>
          <w:szCs w:val="20"/>
        </w:rPr>
        <w:t>Oak</w:t>
      </w:r>
      <w:proofErr w:type="spellEnd"/>
      <w:r w:rsidRPr="00C720DA">
        <w:rPr>
          <w:rFonts w:cs="Times New Roman"/>
          <w:sz w:val="20"/>
          <w:szCs w:val="20"/>
        </w:rPr>
        <w:t xml:space="preserve"> Ridge Institute for Science and Education (ORISE) Postdoctoral Research Participant at US Environmental Protection Agency, Office of Research and Development, Research Triangle Park, NC</w:t>
      </w:r>
    </w:p>
    <w:p w14:paraId="31290CBA" w14:textId="77777777" w:rsidR="00001EA6" w:rsidRPr="00C720DA" w:rsidRDefault="00001EA6" w:rsidP="00001EA6">
      <w:pPr>
        <w:spacing w:after="120" w:line="240" w:lineRule="auto"/>
        <w:jc w:val="center"/>
        <w:rPr>
          <w:rFonts w:cs="Times New Roman"/>
          <w:sz w:val="20"/>
          <w:szCs w:val="20"/>
        </w:rPr>
      </w:pPr>
      <w:proofErr w:type="spellStart"/>
      <w:r w:rsidRPr="00C720DA">
        <w:rPr>
          <w:rFonts w:cs="Times New Roman"/>
          <w:sz w:val="20"/>
          <w:szCs w:val="20"/>
          <w:vertAlign w:val="superscript"/>
        </w:rPr>
        <w:t>b</w:t>
      </w:r>
      <w:r w:rsidRPr="00C720DA">
        <w:rPr>
          <w:rFonts w:cs="Times New Roman"/>
          <w:sz w:val="20"/>
          <w:szCs w:val="20"/>
        </w:rPr>
        <w:t>US</w:t>
      </w:r>
      <w:proofErr w:type="spellEnd"/>
      <w:r w:rsidRPr="00C720DA">
        <w:rPr>
          <w:rFonts w:cs="Times New Roman"/>
          <w:sz w:val="20"/>
          <w:szCs w:val="20"/>
        </w:rPr>
        <w:t xml:space="preserve"> Environmental Protection Agency, Office of Research and Development, Research Triangle Park, NC</w:t>
      </w:r>
    </w:p>
    <w:p w14:paraId="0EDA181C" w14:textId="77777777" w:rsidR="00001EA6" w:rsidRPr="00C720DA" w:rsidRDefault="00001EA6" w:rsidP="00001EA6">
      <w:pPr>
        <w:spacing w:after="120" w:line="240" w:lineRule="auto"/>
        <w:jc w:val="center"/>
        <w:rPr>
          <w:rFonts w:cs="Times New Roman"/>
          <w:sz w:val="20"/>
          <w:szCs w:val="20"/>
        </w:rPr>
      </w:pPr>
    </w:p>
    <w:p w14:paraId="5FDBAA29" w14:textId="77777777" w:rsidR="00001EA6" w:rsidRPr="00C720DA" w:rsidRDefault="00001EA6" w:rsidP="00001EA6">
      <w:pPr>
        <w:rPr>
          <w:rFonts w:cs="Times New Roman"/>
          <w:noProof/>
          <w:sz w:val="20"/>
          <w:szCs w:val="20"/>
        </w:rPr>
      </w:pPr>
      <w:r w:rsidRPr="00C720DA">
        <w:rPr>
          <w:rFonts w:cs="Times New Roman"/>
          <w:noProof/>
          <w:sz w:val="20"/>
          <w:szCs w:val="20"/>
          <w:vertAlign w:val="superscript"/>
        </w:rPr>
        <w:t>*</w:t>
      </w:r>
      <w:r w:rsidRPr="00C720DA">
        <w:rPr>
          <w:rFonts w:cs="Times New Roman"/>
          <w:noProof/>
          <w:sz w:val="20"/>
          <w:szCs w:val="20"/>
        </w:rPr>
        <w:t>Corresponding author: Yongping Yuan, yuan.yongping@epa.gov, 109 T.W. Alexander Dr. RTP, NC 27711</w:t>
      </w:r>
    </w:p>
    <w:bookmarkEnd w:id="0"/>
    <w:p w14:paraId="091BC562" w14:textId="77777777" w:rsidR="00001EA6" w:rsidRPr="00723765" w:rsidRDefault="00001EA6" w:rsidP="00001EA6"/>
    <w:p w14:paraId="096FF5F4" w14:textId="77777777" w:rsidR="00001EA6" w:rsidRDefault="00001EA6" w:rsidP="00BB60DF">
      <w:pPr>
        <w:pStyle w:val="Heading1"/>
        <w:numPr>
          <w:ilvl w:val="0"/>
          <w:numId w:val="0"/>
        </w:numPr>
        <w:ind w:left="432" w:hanging="432"/>
      </w:pPr>
      <w:r>
        <w:t>Abstract</w:t>
      </w:r>
    </w:p>
    <w:p w14:paraId="6B35B077" w14:textId="01EF3231" w:rsidR="006028A4" w:rsidRDefault="001C2248" w:rsidP="001C2248">
      <w:r>
        <w:t>Research Objective:</w:t>
      </w:r>
    </w:p>
    <w:p w14:paraId="59C91F7A" w14:textId="5975CD6E" w:rsidR="001C2248" w:rsidRDefault="001C2248" w:rsidP="001C2248">
      <w:pPr>
        <w:pStyle w:val="ListParagraph"/>
        <w:numPr>
          <w:ilvl w:val="0"/>
          <w:numId w:val="2"/>
        </w:numPr>
      </w:pPr>
      <w:r>
        <w:t>Have the recent regulations and TMDL reduce P losses in the Western Lake Erie Basin</w:t>
      </w:r>
    </w:p>
    <w:p w14:paraId="409407EA" w14:textId="1FEA8F59" w:rsidR="001C2248" w:rsidRDefault="001C2248" w:rsidP="001C2248">
      <w:pPr>
        <w:pStyle w:val="ListParagraph"/>
        <w:numPr>
          <w:ilvl w:val="0"/>
          <w:numId w:val="2"/>
        </w:numPr>
      </w:pPr>
      <w:r>
        <w:t>We analyzed Blanchard, Honey, Maumee, Sandusky, and Tiffin within the basin</w:t>
      </w:r>
      <w:r w:rsidR="006C5769">
        <w:t xml:space="preserve">, which are </w:t>
      </w:r>
      <w:r>
        <w:t xml:space="preserve">subject to </w:t>
      </w:r>
      <w:r w:rsidR="00001EA6">
        <w:t>Ohio</w:t>
      </w:r>
      <w:r>
        <w:t xml:space="preserve"> </w:t>
      </w:r>
      <w:r w:rsidR="002E206E">
        <w:t>laws.</w:t>
      </w:r>
    </w:p>
    <w:p w14:paraId="5A65FC7F" w14:textId="39BE5D53" w:rsidR="001C2248" w:rsidRDefault="001C2248" w:rsidP="001C2248">
      <w:pPr>
        <w:pStyle w:val="ListParagraph"/>
        <w:numPr>
          <w:ilvl w:val="1"/>
          <w:numId w:val="2"/>
        </w:numPr>
      </w:pPr>
      <w:r>
        <w:t xml:space="preserve">As references we used </w:t>
      </w:r>
      <w:r w:rsidR="00102BE0">
        <w:t>R</w:t>
      </w:r>
      <w:r>
        <w:t>aisin (a watershed in the basin but located in Michigan</w:t>
      </w:r>
      <w:r w:rsidR="00AE17A6">
        <w:t>)</w:t>
      </w:r>
    </w:p>
    <w:p w14:paraId="5D6085AF" w14:textId="1B9DA0BD" w:rsidR="00D4064D" w:rsidRDefault="00D4064D" w:rsidP="00BB60DF">
      <w:pPr>
        <w:pStyle w:val="Heading1"/>
      </w:pPr>
      <w:r>
        <w:t>Introduction</w:t>
      </w:r>
    </w:p>
    <w:p w14:paraId="24EAF075" w14:textId="07ABACD9" w:rsidR="00606592" w:rsidRDefault="00606592" w:rsidP="00606592">
      <w:pPr>
        <w:ind w:firstLine="432"/>
        <w:rPr>
          <w:rFonts w:cs="Times New Roman"/>
          <w:szCs w:val="24"/>
        </w:rPr>
      </w:pPr>
      <w:r>
        <w:rPr>
          <w:rFonts w:cs="Times New Roman"/>
          <w:szCs w:val="24"/>
        </w:rPr>
        <w:t>21</w:t>
      </w:r>
      <w:r w:rsidRPr="00606592">
        <w:rPr>
          <w:rFonts w:cs="Times New Roman"/>
          <w:szCs w:val="24"/>
          <w:vertAlign w:val="superscript"/>
        </w:rPr>
        <w:t>st</w:t>
      </w:r>
      <w:r>
        <w:rPr>
          <w:rFonts w:cs="Times New Roman"/>
          <w:szCs w:val="24"/>
        </w:rPr>
        <w:t xml:space="preserve"> century residents of the Great Lakes region have witnessed the</w:t>
      </w:r>
      <w:r>
        <w:rPr>
          <w:rFonts w:cs="Times New Roman"/>
          <w:szCs w:val="24"/>
        </w:rPr>
        <w:t xml:space="preserve"> re-eutrophication of Lake Erie </w: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Scavia et al., 2014)</w:t>
      </w:r>
      <w:r>
        <w:rPr>
          <w:rFonts w:cs="Times New Roman"/>
          <w:szCs w:val="24"/>
        </w:rPr>
        <w:fldChar w:fldCharType="end"/>
      </w:r>
      <w:r>
        <w:rPr>
          <w:rFonts w:cs="Times New Roman"/>
          <w:szCs w:val="24"/>
        </w:rPr>
        <w:t xml:space="preserve">. This re-eutrophication has been driven by increasing nonpoint source soluble reactive phosphorus (SRP) loads from major tributaries in the Western Lake Erie Basin (WLEB) like the Maumee and Sandusky Rivers </w: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Jarvie et al., 2017; Michalak et al., 2013; Scavia et al., 2014)</w:t>
      </w:r>
      <w:r>
        <w:rPr>
          <w:rFonts w:cs="Times New Roman"/>
          <w:szCs w:val="24"/>
        </w:rPr>
        <w:fldChar w:fldCharType="end"/>
      </w:r>
      <w:r>
        <w:rPr>
          <w:rFonts w:cs="Times New Roman"/>
          <w:szCs w:val="24"/>
        </w:rPr>
        <w:t xml:space="preserve">. In tandem with this re-eutrophication, </w:t>
      </w:r>
      <w:r w:rsidRPr="00B24ED5">
        <w:rPr>
          <w:rFonts w:cs="Times New Roman"/>
          <w:szCs w:val="24"/>
        </w:rPr>
        <w:t>pervasive harmful and nuisance algal blooms (HNABs)</w:t>
      </w:r>
      <w:r>
        <w:rPr>
          <w:rFonts w:cs="Times New Roman"/>
          <w:szCs w:val="24"/>
        </w:rPr>
        <w:t xml:space="preserve"> have returned to</w:t>
      </w:r>
      <w:r w:rsidRPr="00B24ED5">
        <w:rPr>
          <w:rFonts w:cs="Times New Roman"/>
          <w:szCs w:val="24"/>
        </w:rPr>
        <w:t xml:space="preserve"> Lake Erie, including massive HNABs in the summer</w:t>
      </w:r>
      <w:r>
        <w:rPr>
          <w:rFonts w:cs="Times New Roman"/>
          <w:szCs w:val="24"/>
        </w:rPr>
        <w:t>s</w:t>
      </w:r>
      <w:r w:rsidRPr="00B24ED5">
        <w:rPr>
          <w:rFonts w:cs="Times New Roman"/>
          <w:szCs w:val="24"/>
        </w:rPr>
        <w:t xml:space="preserve"> of 2011 and 2015</w:t>
      </w:r>
      <w:r>
        <w:rPr>
          <w:rFonts w:cs="Times New Roman"/>
          <w:szCs w:val="24"/>
        </w:rPr>
        <w:t xml:space="preserve"> and </w:t>
      </w:r>
      <w:r w:rsidRPr="00B24ED5">
        <w:rPr>
          <w:rFonts w:cs="Times New Roman"/>
          <w:szCs w:val="24"/>
        </w:rPr>
        <w:t>the</w:t>
      </w:r>
      <w:r>
        <w:rPr>
          <w:rFonts w:cs="Times New Roman"/>
          <w:szCs w:val="24"/>
        </w:rPr>
        <w:t xml:space="preserve"> microcystin containing</w:t>
      </w:r>
      <w:r w:rsidRPr="00B24ED5">
        <w:rPr>
          <w:rFonts w:cs="Times New Roman"/>
          <w:szCs w:val="24"/>
        </w:rPr>
        <w:t xml:space="preserve"> HNAB in August of 2014 that led to 400,000 Ohio residents unable to drink or use their tap water (Smith et al., 2015).</w:t>
      </w:r>
    </w:p>
    <w:p w14:paraId="294C0229" w14:textId="4600EF17" w:rsidR="00B249A0" w:rsidRPr="00606592" w:rsidRDefault="00173DE2" w:rsidP="00606592">
      <w:pPr>
        <w:ind w:firstLine="432"/>
        <w:rPr>
          <w:rFonts w:cs="Times New Roman"/>
          <w:szCs w:val="24"/>
        </w:rPr>
      </w:pPr>
      <w:r>
        <w:t xml:space="preserve">To </w:t>
      </w:r>
      <w:r w:rsidR="00606592">
        <w:t>improve</w:t>
      </w:r>
      <w:r w:rsidR="00C5674C">
        <w:t xml:space="preserve"> the water quality of</w:t>
      </w:r>
      <w:r w:rsidR="004B6DEC">
        <w:t xml:space="preserve"> Lake Erie, policymakers and scientists have recommended a reduction in phosphorus loading to the WLEB. </w:t>
      </w:r>
      <w:r w:rsidR="00E63A6B">
        <w:t xml:space="preserve">For example, </w:t>
      </w:r>
      <w:r w:rsidR="004B6DEC">
        <w:t>the Ohio Lake Erie Phosphorus Task Force recommended 37% and 41% reductions in the average spring loads (relative to a 2007-2012 baseline) of total phosphorus and SRP</w:t>
      </w:r>
      <w:r w:rsidR="00C5674C">
        <w:t>,</w:t>
      </w:r>
      <w:r w:rsidR="004B6DEC">
        <w:t xml:space="preserve"> respectively, to significantly reduce or eliminate HNABS</w:t>
      </w:r>
      <w:r w:rsidR="00B0389C">
        <w:t xml:space="preserve"> (</w:t>
      </w:r>
      <w:proofErr w:type="spellStart"/>
      <w:r w:rsidR="00B0389C" w:rsidRPr="00B0389C">
        <w:rPr>
          <w:highlight w:val="yellow"/>
        </w:rPr>
        <w:t>OhioTaskForce</w:t>
      </w:r>
      <w:proofErr w:type="spellEnd"/>
      <w:r w:rsidR="00B0389C" w:rsidRPr="00B0389C">
        <w:rPr>
          <w:highlight w:val="yellow"/>
        </w:rPr>
        <w:t>, 2013</w:t>
      </w:r>
      <w:r w:rsidR="00B0389C">
        <w:t>)</w:t>
      </w:r>
      <w:r w:rsidR="004B6DEC">
        <w:t xml:space="preserve">. </w:t>
      </w:r>
      <w:r w:rsidR="00E63A6B">
        <w:t>Then in</w:t>
      </w:r>
      <w:r w:rsidR="00B249A0">
        <w:t xml:space="preserve"> 2016, as part of the updated Great Lakes Water Quality Agreement, the United States and Canada adopted a target to</w:t>
      </w:r>
      <w:r w:rsidR="00B0389C">
        <w:t xml:space="preserve"> </w:t>
      </w:r>
      <w:r w:rsidR="00B249A0">
        <w:t xml:space="preserve">reduce </w:t>
      </w:r>
      <w:r w:rsidR="003A0EE8">
        <w:t xml:space="preserve">annual </w:t>
      </w:r>
      <w:r w:rsidR="00F103F7">
        <w:t>P</w:t>
      </w:r>
      <w:r w:rsidR="003A0EE8">
        <w:t xml:space="preserve"> loads</w:t>
      </w:r>
      <w:r w:rsidR="00F103F7">
        <w:t xml:space="preserve"> to Lake Erie</w:t>
      </w:r>
      <w:r w:rsidR="00B249A0">
        <w:t xml:space="preserve"> by 40%</w:t>
      </w:r>
      <w:r w:rsidR="00F103F7">
        <w:t xml:space="preserve"> relative to the 2008 baseline load to reduce the extent of algal blooms in the basin </w:t>
      </w:r>
      <w:r w:rsidR="00F103F7">
        <w:fldChar w:fldCharType="begin"/>
      </w:r>
      <w:r w:rsidR="00F103F7">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F103F7">
        <w:fldChar w:fldCharType="separate"/>
      </w:r>
      <w:r w:rsidR="00F103F7">
        <w:rPr>
          <w:noProof/>
        </w:rPr>
        <w:t>(USEPA, 2016)</w:t>
      </w:r>
      <w:r w:rsidR="00F103F7">
        <w:fldChar w:fldCharType="end"/>
      </w:r>
      <w:r w:rsidR="00F103F7">
        <w:t>.</w:t>
      </w:r>
      <w:r w:rsidR="004B6DEC">
        <w:t xml:space="preserve"> </w:t>
      </w:r>
    </w:p>
    <w:p w14:paraId="2D79F3E0" w14:textId="1D5180F2" w:rsidR="00117C88" w:rsidRDefault="00E63A6B" w:rsidP="00413D2A">
      <w:pPr>
        <w:ind w:firstLine="432"/>
      </w:pPr>
      <w:r>
        <w:t>To meet these targets, s</w:t>
      </w:r>
      <w:r w:rsidR="004234A8">
        <w:t xml:space="preserve">tates </w:t>
      </w:r>
      <w:r>
        <w:t xml:space="preserve">have developed </w:t>
      </w:r>
      <w:r w:rsidR="004234A8">
        <w:t>n</w:t>
      </w:r>
      <w:r w:rsidR="004234A8" w:rsidRPr="004234A8">
        <w:t xml:space="preserve">utrient reduction strategies </w:t>
      </w:r>
      <w:r w:rsidR="004234A8">
        <w:t xml:space="preserve">that </w:t>
      </w:r>
      <w:r w:rsidR="004234A8" w:rsidRPr="004234A8">
        <w:t>focus on implementing best management practices (BMPs) or agricultural conservation practices (ACPs)</w:t>
      </w:r>
      <w:r w:rsidR="004234A8">
        <w:t xml:space="preserve"> to reduce nutrient loss</w:t>
      </w:r>
      <w:r w:rsidR="006C5769">
        <w:t xml:space="preserve"> from agricultural fields</w:t>
      </w:r>
      <w:r w:rsidR="004234A8">
        <w:t xml:space="preserve">. </w:t>
      </w:r>
      <w:r>
        <w:t>For example, t</w:t>
      </w:r>
      <w:r w:rsidR="00305DBA">
        <w:t xml:space="preserve">he Ohio EPA updated the nonpoint source managment plan in 2014 (cite plan). </w:t>
      </w:r>
      <w:r w:rsidR="004234A8">
        <w:t xml:space="preserve">Along with </w:t>
      </w:r>
      <w:r>
        <w:t>the updated management plan</w:t>
      </w:r>
      <w:r w:rsidR="004234A8">
        <w:t xml:space="preserve">, </w:t>
      </w:r>
      <w:r w:rsidR="00B249A0">
        <w:t>the Ohio General Assembly enacted Senate Bill 1 in 2015 to address nutrient pollution in the WLEB</w:t>
      </w:r>
      <w:r w:rsidR="004234A8">
        <w:t xml:space="preserve"> </w:t>
      </w:r>
      <w:r w:rsidR="003B11E5">
        <w:t>(</w:t>
      </w:r>
      <w:r w:rsidR="003B11E5" w:rsidRPr="009E4B95">
        <w:t xml:space="preserve">Section 905.326: Application of fertilizer in western basin. </w:t>
      </w:r>
      <w:hyperlink r:id="rId8" w:history="1">
        <w:r w:rsidRPr="009D6DA0">
          <w:rPr>
            <w:rStyle w:val="Hyperlink"/>
          </w:rPr>
          <w:t>https://codes.ohio.g</w:t>
        </w:r>
        <w:r w:rsidRPr="009D6DA0">
          <w:rPr>
            <w:rStyle w:val="Hyperlink"/>
          </w:rPr>
          <w:t>o</w:t>
        </w:r>
        <w:r w:rsidRPr="009D6DA0">
          <w:rPr>
            <w:rStyle w:val="Hyperlink"/>
          </w:rPr>
          <w:t>v/ohio-revised-code/section-905.326</w:t>
        </w:r>
      </w:hyperlink>
      <w:r w:rsidR="003B11E5">
        <w:t>).</w:t>
      </w:r>
      <w:r>
        <w:t xml:space="preserve"> </w:t>
      </w:r>
      <w:r>
        <w:t>This legislation</w:t>
      </w:r>
      <w:r>
        <w:t xml:space="preserve"> included</w:t>
      </w:r>
      <w:r>
        <w:t xml:space="preserve"> two core measures. First, no person can apply fertilizer or manure without a certification. Second, a person may not apply fertilizer or manure on snow-covered or frozen soil, saturated soil, or when the local weather forecast contains a greater than 50% chance of precipitation exceeding 0.5” in a 24-hour period</w:t>
      </w:r>
      <w:r w:rsidR="00C83EA7">
        <w:t xml:space="preserve"> unless the nutrient applied is subsequently incorporated into the soil. </w:t>
      </w:r>
      <w:r>
        <w:t>These regulations became effective on 3</w:t>
      </w:r>
      <w:r>
        <w:rPr>
          <w:vertAlign w:val="superscript"/>
        </w:rPr>
        <w:t xml:space="preserve"> </w:t>
      </w:r>
      <w:r>
        <w:t>July 2015.</w:t>
      </w:r>
      <w:r>
        <w:t xml:space="preserve"> </w:t>
      </w:r>
      <w:r w:rsidR="00413D2A">
        <w:t xml:space="preserve">Violations of these regulations </w:t>
      </w:r>
      <w:r w:rsidR="00413D2A">
        <w:t>can result in corrective action orders and civil penalties up t</w:t>
      </w:r>
      <w:r w:rsidR="00413D2A">
        <w:t xml:space="preserve">o </w:t>
      </w:r>
      <w:r w:rsidR="00413D2A">
        <w:t>$10,000.</w:t>
      </w:r>
      <w:r w:rsidR="00413D2A">
        <w:t xml:space="preserve"> </w:t>
      </w:r>
      <w:r w:rsidR="005968C7">
        <w:t>T</w:t>
      </w:r>
      <w:r>
        <w:t>o the authors knowledge, this</w:t>
      </w:r>
      <w:r w:rsidR="00EF075A">
        <w:t xml:space="preserve"> is the first nutrient management regulation in the midwestern USA</w:t>
      </w:r>
      <w:r>
        <w:t>, which therefore</w:t>
      </w:r>
      <w:r w:rsidR="005968C7">
        <w:t xml:space="preserve"> </w:t>
      </w:r>
      <w:r w:rsidR="00EF075A">
        <w:t xml:space="preserve">prompts great interest in the effectiveness of </w:t>
      </w:r>
      <w:r>
        <w:t>the</w:t>
      </w:r>
      <w:r w:rsidR="00EF075A">
        <w:t xml:space="preserve"> regulations</w:t>
      </w:r>
      <w:r>
        <w:t xml:space="preserve"> to reduce phosphorus export</w:t>
      </w:r>
      <w:r w:rsidR="00EF075A">
        <w:t xml:space="preserve">. </w:t>
      </w:r>
    </w:p>
    <w:p w14:paraId="1BC249BE" w14:textId="055996C7" w:rsidR="00D961E6" w:rsidRDefault="00C83EA7" w:rsidP="00B34F7A">
      <w:pPr>
        <w:ind w:firstLine="432"/>
      </w:pPr>
      <w:r>
        <w:t xml:space="preserve">Winter manure bans have the potential to be effective measures for P load reduction because nutrient applied to frozen </w:t>
      </w:r>
      <w:r w:rsidR="00755DF7">
        <w:t xml:space="preserve">or snow covered </w:t>
      </w:r>
      <w:r>
        <w:t xml:space="preserve">soils have a greater </w:t>
      </w:r>
      <w:r w:rsidR="00755DF7">
        <w:t xml:space="preserve">runoff risk </w: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 </w:instrTex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EN.CITE.DATA </w:instrText>
      </w:r>
      <w:r w:rsidR="00755DF7">
        <w:fldChar w:fldCharType="end"/>
      </w:r>
      <w:r w:rsidR="00755DF7">
        <w:fldChar w:fldCharType="separate"/>
      </w:r>
      <w:r w:rsidR="00755DF7">
        <w:rPr>
          <w:noProof/>
        </w:rPr>
        <w:t>(Liu et al., 2018; Prasad, Thompson, Arriaga, &amp; Vadas, 2022; Srinivasan, Bryant, Callahan, &amp; Weld, 2006; Stock et al., 2019)</w:t>
      </w:r>
      <w:r w:rsidR="00755DF7">
        <w:fldChar w:fldCharType="end"/>
      </w:r>
      <w:r>
        <w:t xml:space="preserve">. </w:t>
      </w:r>
      <w:r w:rsidR="00D961E6">
        <w:t>Furthermore,</w:t>
      </w:r>
      <w:r w:rsidR="00E043F5">
        <w:t xml:space="preserve"> </w:t>
      </w:r>
      <w:r w:rsidR="00FB224B">
        <w:t xml:space="preserve">the restriction of application in the 24 hours before a precipitation event follows the results of </w: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 </w:instrTex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EN.CITE.DATA </w:instrText>
      </w:r>
      <w:r w:rsidR="00FB224B">
        <w:fldChar w:fldCharType="end"/>
      </w:r>
      <w:r w:rsidR="00FB224B">
        <w:fldChar w:fldCharType="separate"/>
      </w:r>
      <w:r w:rsidR="00FB224B">
        <w:rPr>
          <w:noProof/>
        </w:rPr>
        <w:t>Smith, Owens, Leytem, and Warnemuende (2007)</w:t>
      </w:r>
      <w:r w:rsidR="00FB224B">
        <w:fldChar w:fldCharType="end"/>
      </w:r>
      <w:r w:rsidR="00FB224B">
        <w:t xml:space="preserve">, which found that the greatest risk of P loss occurred when </w:t>
      </w:r>
      <w:r w:rsidR="00413D2A">
        <w:t xml:space="preserve">rainfall occurred 1 day after fertilization and dropped drastically if precipitation occurred after that. Finally, the exception for </w:t>
      </w:r>
      <w:r w:rsidR="00C43654">
        <w:t xml:space="preserve">incorporation should not void or reduce the effectiveness of the regulation </w:t>
      </w:r>
      <w:r w:rsidR="00B34F7A">
        <w:t xml:space="preserve">because subsurface application has been shown to reduce SRP losses from agricultural fields </w: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 </w:instrTex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EN.CITE.DATA </w:instrText>
      </w:r>
      <w:r w:rsidR="00B34F7A">
        <w:fldChar w:fldCharType="end"/>
      </w:r>
      <w:r w:rsidR="00B34F7A">
        <w:fldChar w:fldCharType="separate"/>
      </w:r>
      <w:r w:rsidR="00B34F7A">
        <w:rPr>
          <w:noProof/>
        </w:rPr>
        <w:t>(Kamrath &amp; Yuan, 2023; King et al., 2018)</w:t>
      </w:r>
      <w:r w:rsidR="00B34F7A">
        <w:fldChar w:fldCharType="end"/>
      </w:r>
      <w:r w:rsidR="00B34F7A">
        <w:t xml:space="preserve">. </w:t>
      </w:r>
      <w:r w:rsidR="00D961E6">
        <w:t xml:space="preserve">From these studies, </w:t>
      </w:r>
      <w:r w:rsidR="00B34F7A">
        <w:t>we hypothesized that the nutrient management rules will reduce P losses from agricultural watersheds in the WLEB, especially during the winter season.</w:t>
      </w:r>
    </w:p>
    <w:p w14:paraId="042E727A" w14:textId="31316783" w:rsidR="006E2C1C" w:rsidRPr="006E2C1C" w:rsidRDefault="00117C88" w:rsidP="00706694">
      <w:pPr>
        <w:ind w:firstLine="432"/>
      </w:pPr>
      <w:r>
        <w:t>H</w:t>
      </w:r>
      <w:r w:rsidR="00305DBA">
        <w:t xml:space="preserve">ere we </w:t>
      </w:r>
      <w:r w:rsidR="00B34F7A">
        <w:t>focused the Maumee River watersheds</w:t>
      </w:r>
      <w:r w:rsidR="007E4D23">
        <w:t>, one of the</w:t>
      </w:r>
      <w:r w:rsidR="00B34F7A">
        <w:t xml:space="preserve"> largest contributor</w:t>
      </w:r>
      <w:r w:rsidR="007E4D23">
        <w:t>s</w:t>
      </w:r>
      <w:r w:rsidR="00B34F7A">
        <w:t xml:space="preserve"> of P to the </w:t>
      </w:r>
      <w:r w:rsidR="00060133">
        <w:t>WLEB</w:t>
      </w:r>
      <w:r w:rsidR="007E4D23">
        <w:t xml:space="preserve"> </w:t>
      </w:r>
      <w:r w:rsidR="007E4D23">
        <w:fldChar w:fldCharType="begin"/>
      </w:r>
      <w:r w:rsidR="007E4D23">
        <w:instrText xml:space="preserve"> ADDIN EN.CITE &lt;EndNote&gt;&lt;Cite&gt;&lt;Author&gt;Stumpf&lt;/Author&gt;&lt;Year&gt;2012&lt;/Year&gt;&lt;RecNum&gt;16941&lt;/RecNum&gt;&lt;DisplayText&gt;(Stumpf, Wynne, Baker, &amp;amp; Fahnenstiel, 2012)&lt;/DisplayText&gt;&lt;record&gt;&lt;rec-number&gt;16941&lt;/rec-number&gt;&lt;foreign-keys&gt;&lt;key app="EN" db-id="vxf5p2xpuads9deaf5xvd2ri20s0at2spve5" timestamp="1675355485"&gt;16941&lt;/key&gt;&lt;/foreign-keys&gt;&lt;ref-type name="Journal Article"&gt;17&lt;/ref-type&gt;&lt;contributors&gt;&lt;authors&gt;&lt;author&gt;Stumpf, R. P.&lt;/author&gt;&lt;author&gt;Wynne, T. T.&lt;/author&gt;&lt;author&gt;Baker, D. B.&lt;/author&gt;&lt;author&gt;Fahnenstiel, G. L.&lt;/author&gt;&lt;/authors&gt;&lt;/contributors&gt;&lt;auth-address&gt;National Oceanic and Atmospheric Administration (NOAA), National Centers for Coastal Ocean Science, Silver Spring, Maryland, United States of America. Richard.stumpf@noaa.gov&lt;/auth-address&gt;&lt;titles&gt;&lt;title&gt;Interannual variability of cyanobacterial blooms in Lake Erie&lt;/title&gt;&lt;secondary-title&gt;PLoS One&lt;/secondary-title&gt;&lt;/titles&gt;&lt;periodical&gt;&lt;full-title&gt;PloS one&lt;/full-title&gt;&lt;/periodical&gt;&lt;pages&gt;e42444&lt;/pages&gt;&lt;volume&gt;7&lt;/volume&gt;&lt;number&gt;8&lt;/number&gt;&lt;edition&gt;2012/08/08&lt;/edition&gt;&lt;keywords&gt;&lt;keyword&gt;Animals&lt;/keyword&gt;&lt;keyword&gt;Bivalvia/physiology&lt;/keyword&gt;&lt;keyword&gt;Cyanobacteria/*physiology&lt;/keyword&gt;&lt;keyword&gt;*Ecosystem&lt;/keyword&gt;&lt;keyword&gt;Great Lakes Region&lt;/keyword&gt;&lt;keyword&gt;Lakes/*microbiology&lt;/keyword&gt;&lt;/keywords&gt;&lt;dates&gt;&lt;year&gt;2012&lt;/year&gt;&lt;/dates&gt;&lt;publisher&gt;Public Library of Science&lt;/publisher&gt;&lt;isbn&gt;1932-6203 (Electronic)&amp;#xD;1932-6203 (Linking)&lt;/isbn&gt;&lt;accession-num&gt;22870327&lt;/accession-num&gt;&lt;urls&gt;&lt;related-urls&gt;&lt;url&gt;https://www.ncbi.nlm.nih.gov/pubmed/22870327&lt;/url&gt;&lt;/related-urls&gt;&lt;/urls&gt;&lt;custom2&gt;PMC3409863&lt;/custom2&gt;&lt;electronic-resource-num&gt;10.1371/journal.pone.0042444&lt;/electronic-resource-num&gt;&lt;/record&gt;&lt;/Cite&gt;&lt;/EndNote&gt;</w:instrText>
      </w:r>
      <w:r w:rsidR="007E4D23">
        <w:fldChar w:fldCharType="separate"/>
      </w:r>
      <w:r w:rsidR="007E4D23">
        <w:rPr>
          <w:noProof/>
        </w:rPr>
        <w:t>(Stumpf, Wynne, Baker, &amp; Fahnenstiel, 2012)</w:t>
      </w:r>
      <w:r w:rsidR="007E4D23">
        <w:fldChar w:fldCharType="end"/>
      </w:r>
      <w:r w:rsidR="00305DBA">
        <w:t xml:space="preserve">. To quantify </w:t>
      </w:r>
      <w:r w:rsidR="00706694">
        <w:t>SR</w:t>
      </w:r>
      <w:r w:rsidR="00305DBA">
        <w:t>P</w:t>
      </w:r>
      <w:r w:rsidR="00706694">
        <w:t xml:space="preserve"> and total phosphorus (TP)</w:t>
      </w:r>
      <w:r w:rsidR="00305DBA">
        <w:t xml:space="preserve"> trends, we used the flow-normalized </w:t>
      </w:r>
      <w:r w:rsidR="00706694">
        <w:t>(FN) concentrations and fluxes derived from the w</w:t>
      </w:r>
      <w:r w:rsidR="00706694" w:rsidRPr="003C6EFE">
        <w:t>eighted regression on time, discharge, and season (WRTDS)</w:t>
      </w:r>
      <w:r w:rsidR="00706694">
        <w:t xml:space="preserve"> model </w:t>
      </w:r>
      <w:r w:rsidR="00706694">
        <w:fldChar w:fldCharType="begin">
          <w:fldData xml:space="preserve">PEVuZE5vdGU+PENpdGU+PEF1dGhvcj5DaG9xdWV0dGU8L0F1dGhvcj48WWVhcj4yMDE5PC9ZZWFy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</w:fldData>
        </w:fldChar>
      </w:r>
      <w:r w:rsidR="00606592">
        <w:instrText xml:space="preserve"> ADDIN EN.CITE </w:instrText>
      </w:r>
      <w:r w:rsidR="00606592">
        <w:fldChar w:fldCharType="begin">
          <w:fldData xml:space="preserve">PEVuZE5vdGU+PENpdGU+PEF1dGhvcj5DaG9xdWV0dGU8L0F1dGhvcj48WWVhcj4yMDE5PC9ZZWFy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</w:fldData>
        </w:fldChar>
      </w:r>
      <w:r w:rsidR="00606592">
        <w:instrText xml:space="preserve"> ADDIN EN.CITE.DATA </w:instrText>
      </w:r>
      <w:r w:rsidR="00606592">
        <w:fldChar w:fldCharType="end"/>
      </w:r>
      <w:r w:rsidR="00706694">
        <w:fldChar w:fldCharType="separate"/>
      </w:r>
      <w:r w:rsidR="00606592">
        <w:rPr>
          <w:noProof/>
        </w:rPr>
        <w:t>(Choquette, Hirsch, Murphy, Johnson, &amp; Confesor, 2019; Hirsch, Moyer, &amp; Archfield, 2010)</w:t>
      </w:r>
      <w:r w:rsidR="00706694">
        <w:fldChar w:fldCharType="end"/>
      </w:r>
      <w:r w:rsidR="00706694">
        <w:t xml:space="preserve">. </w:t>
      </w:r>
      <w:r w:rsidR="00706694" w:rsidRPr="003C6EFE">
        <w:t xml:space="preserve">Flow normalization </w:t>
      </w:r>
      <w:r w:rsidR="00706694">
        <w:t>aims to remove variations in concentration and flux caused by random variation</w:t>
      </w:r>
      <w:r w:rsidR="00706694" w:rsidRPr="003C6EFE">
        <w:t xml:space="preserve"> in streamflow and has been found to provide the best available method for nutrient trend evaluation </w:t>
      </w:r>
      <w:r w:rsidR="00706694" w:rsidRPr="003C6EFE">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 </w:instrText>
      </w:r>
      <w:r w:rsidR="00706694">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EN.CITE.DATA </w:instrText>
      </w:r>
      <w:r w:rsidR="00706694">
        <w:fldChar w:fldCharType="end"/>
      </w:r>
      <w:r w:rsidR="00706694" w:rsidRPr="003C6EFE">
        <w:fldChar w:fldCharType="separate"/>
      </w:r>
      <w:r w:rsidR="00706694">
        <w:rPr>
          <w:noProof/>
        </w:rPr>
        <w:t>(Rowland, Stow, Johnson, &amp; Hirsch, 2021; Sprague, Hirsch, &amp; Aulenbach, 2011)</w:t>
      </w:r>
      <w:r w:rsidR="00706694" w:rsidRPr="003C6EFE">
        <w:fldChar w:fldCharType="end"/>
      </w:r>
      <w:r w:rsidR="00706694" w:rsidRPr="003C6EFE">
        <w:t xml:space="preserve">. </w:t>
      </w:r>
      <w:r w:rsidR="00305DBA">
        <w:t>Overall, t</w:t>
      </w:r>
      <w:r w:rsidR="006E2C1C">
        <w:t xml:space="preserve">his study can be portioned into 3 distinct objectives: 1) investigate recent trends for changes in response to nutrient management rules and regulations, </w:t>
      </w:r>
      <w:r w:rsidR="00CC5682">
        <w:t>2</w:t>
      </w:r>
      <w:r w:rsidR="006E2C1C">
        <w:t>) contextualize changes in P trends with respect to flow conditions and season</w:t>
      </w:r>
      <w:r w:rsidR="00290695">
        <w:t xml:space="preserve"> to elucidate potential causes for trends</w:t>
      </w:r>
      <w:r w:rsidR="00CC5682">
        <w:t xml:space="preserve">, and 3) </w:t>
      </w:r>
      <w:r w:rsidR="00CC5682">
        <w:t>assess the</w:t>
      </w:r>
      <w:r w:rsidR="00CC5682">
        <w:t xml:space="preserve"> annual</w:t>
      </w:r>
      <w:r w:rsidR="00CC5682">
        <w:t xml:space="preserve"> P trends across the basin since 2009</w:t>
      </w:r>
      <w:r w:rsidR="006E2C1C">
        <w:t xml:space="preserve">. </w:t>
      </w:r>
    </w:p>
    <w:p w14:paraId="31AF2FD2" w14:textId="245EA158" w:rsidR="00B40330" w:rsidRDefault="00B40330" w:rsidP="00B40330">
      <w:pPr>
        <w:pStyle w:val="Heading1"/>
      </w:pPr>
      <w:r>
        <w:t>Methods and Materials</w:t>
      </w:r>
    </w:p>
    <w:p w14:paraId="71140892" w14:textId="13A9B3C0" w:rsidR="00B40330" w:rsidRDefault="00B40330" w:rsidP="00BB60DF">
      <w:pPr>
        <w:pStyle w:val="Heading2"/>
      </w:pPr>
      <w:r>
        <w:t>Site Selection</w:t>
      </w:r>
    </w:p>
    <w:p w14:paraId="603604A2" w14:textId="6E6A0055" w:rsidR="00001EA6" w:rsidRDefault="00020458" w:rsidP="00020458">
      <w:pPr>
        <w:ind w:firstLine="720"/>
      </w:pPr>
      <w:r>
        <w:t>To understand changing phosphorus trends in the basin, the</w:t>
      </w:r>
      <w:r w:rsidR="00E83322">
        <w:t xml:space="preserve"> </w:t>
      </w:r>
      <w:r w:rsidRPr="003C6EFE">
        <w:t>WRTDS</w:t>
      </w:r>
      <w:r>
        <w:t xml:space="preserve"> model was used to characterize SRP and TP trends in </w:t>
      </w:r>
      <w:r w:rsidR="00E83322">
        <w:t>6</w:t>
      </w:r>
      <w:r>
        <w:t xml:space="preserve"> watersheds</w:t>
      </w:r>
      <w:r w:rsidR="00E83322">
        <w:t xml:space="preserve"> within the WLEB</w:t>
      </w:r>
      <w:r>
        <w:t xml:space="preserve"> from 200</w:t>
      </w:r>
      <w:r w:rsidR="00060133">
        <w:t>9</w:t>
      </w:r>
      <w:r>
        <w:t xml:space="preserve"> to 202</w:t>
      </w:r>
      <w:r w:rsidR="00060133">
        <w:t>1</w:t>
      </w:r>
      <w:r>
        <w:t xml:space="preserve"> (Table 1).</w:t>
      </w:r>
      <w:r w:rsidR="006C27DE">
        <w:t xml:space="preserve"> </w:t>
      </w:r>
      <w:r w:rsidR="0071425D">
        <w:t>These sites were predominately chosen due to the availability of long-term data within the Nation</w:t>
      </w:r>
      <w:r w:rsidR="00837326">
        <w:t>al</w:t>
      </w:r>
      <w:r w:rsidR="0071425D">
        <w:t xml:space="preserve"> Center for Water Quality Research (NCWQR) at Heidelberg University database </w:t>
      </w:r>
      <w:r w:rsidR="0071425D">
        <w:fldChar w:fldCharType="begin"/>
      </w:r>
      <w:r w:rsidR="002A2836">
        <w:instrText xml:space="preserve"> ADDIN EN.CITE &lt;EndNote&gt;&lt;Cite&gt;&lt;Author&gt;NCWQR&lt;/Author&gt;&lt;Year&gt;2022&lt;/Year&gt;&lt;RecNum&gt;16924&lt;/RecNum&gt;&lt;DisplayText&gt;(NCWQR, 2022)&lt;/DisplayText&gt;&lt;record&gt;&lt;rec-number&gt;16924&lt;/rec-number&gt;&lt;foreign-keys&gt;&lt;key app="EN" db-id="vxf5p2xpuads9deaf5xvd2ri20s0at2spve5" timestamp="1672852138"&gt;16924&lt;/key&gt;&lt;/foreign-keys&gt;&lt;ref-type name="Dataset"&gt;59&lt;/ref-type&gt;&lt;contributors&gt;&lt;authors&gt;&lt;author&gt;NCWQR&lt;/author&gt;&lt;/authors&gt;&lt;/contributors&gt;&lt;titles&gt;&lt;title&gt;Heidelberg Tributary Loading Program (HTLP) Dataset&lt;/title&gt;&lt;/titles&gt;&lt;edition&gt;20220330&lt;/edition&gt;&lt;dates&gt;&lt;year&gt;2022&lt;/year&gt;&lt;/dates&gt;&lt;pub-location&gt;Zenodo&lt;/pub-location&gt;&lt;urls&gt;&lt;related-urls&gt;&lt;url&gt;https://doi.org/10.5281/zenodo.6606950&lt;/url&gt;&lt;/related-urls&gt;&lt;/urls&gt;&lt;electronic-resource-num&gt;10.5281/zenodo.6606950&lt;/electronic-resource-num&gt;&lt;/record&gt;&lt;/Cite&gt;&lt;/EndNote&gt;</w:instrText>
      </w:r>
      <w:r w:rsidR="0071425D">
        <w:fldChar w:fldCharType="separate"/>
      </w:r>
      <w:r w:rsidR="002A2836">
        <w:rPr>
          <w:noProof/>
        </w:rPr>
        <w:t>(NCWQR, 2022)</w:t>
      </w:r>
      <w:r w:rsidR="0071425D">
        <w:fldChar w:fldCharType="end"/>
      </w:r>
      <w:r w:rsidR="0071425D">
        <w:t xml:space="preserve">. Remaining stations were excluded based on an insufficient period of water quality data, high percentage of urban or the potential for high flashiness (i.e., </w:t>
      </w:r>
      <w:r w:rsidR="00E83322">
        <w:t xml:space="preserve">high </w:t>
      </w:r>
      <w:r w:rsidR="0071425D">
        <w:t xml:space="preserve">Richards-Baker Index), which would render them incompatible with the </w:t>
      </w:r>
      <w:r w:rsidR="00E83322">
        <w:t xml:space="preserve">WRTDS model </w:t>
      </w:r>
      <w:r w:rsidR="0071425D">
        <w:t xml:space="preserve">used herein. </w:t>
      </w:r>
      <w:r w:rsidR="00D4064D">
        <w:t xml:space="preserve">These watersheds ranged </w:t>
      </w:r>
      <w:r w:rsidR="00D4064D" w:rsidRPr="00E83322">
        <w:t>from</w:t>
      </w:r>
      <w:r w:rsidR="00E83322" w:rsidRPr="00E83322">
        <w:t xml:space="preserve"> 386 to 16388 km</w:t>
      </w:r>
      <w:r w:rsidR="00E83322" w:rsidRPr="00E83322">
        <w:rPr>
          <w:vertAlign w:val="superscript"/>
        </w:rPr>
        <w:t>2</w:t>
      </w:r>
      <w:r w:rsidR="00D4064D" w:rsidRPr="00E83322">
        <w:t xml:space="preserve"> and</w:t>
      </w:r>
      <w:r w:rsidR="00D4064D">
        <w:t xml:space="preserve"> were predominately agricultural</w:t>
      </w:r>
      <w:r w:rsidR="00E83322">
        <w:t xml:space="preserve"> (Table 1)</w:t>
      </w:r>
      <w:r w:rsidR="00D4064D">
        <w:t>. Due to the highly agricultural nature of the watersheds, n</w:t>
      </w:r>
      <w:r w:rsidR="00001EA6" w:rsidRPr="003C6EFE">
        <w:t>utrient application is likely the core contributor of P</w:t>
      </w:r>
      <w:r w:rsidR="00001EA6">
        <w:t xml:space="preserve"> </w: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 </w:instrTex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EN.CITE.DATA </w:instrText>
      </w:r>
      <w:r w:rsidR="00001EA6">
        <w:fldChar w:fldCharType="end"/>
      </w:r>
      <w:r w:rsidR="00001EA6">
        <w:fldChar w:fldCharType="separate"/>
      </w:r>
      <w:r w:rsidR="00001EA6">
        <w:rPr>
          <w:noProof/>
        </w:rPr>
        <w:t>(Kast et al., 2021)</w:t>
      </w:r>
      <w:r w:rsidR="00001EA6">
        <w:fldChar w:fldCharType="end"/>
      </w:r>
      <w:r w:rsidR="00001EA6">
        <w:t>.</w:t>
      </w:r>
      <w:r w:rsidR="00001EA6" w:rsidRPr="003C6EFE">
        <w:t xml:space="preserve"> </w:t>
      </w:r>
    </w:p>
    <w:p w14:paraId="3168D65C" w14:textId="0F5256E8" w:rsidR="00E83322" w:rsidRDefault="0071425D" w:rsidP="003B11E5">
      <w:pPr>
        <w:ind w:firstLine="720"/>
      </w:pPr>
      <w:r>
        <w:t xml:space="preserve">At each site, </w:t>
      </w:r>
      <w:r w:rsidR="002A2836">
        <w:t>we examined trends in soluble reactive phosphorus (</w:t>
      </w:r>
      <w:r w:rsidR="002A2836" w:rsidRPr="003C6EFE">
        <w:t>SRP</w:t>
      </w:r>
      <w:r w:rsidR="002A2836">
        <w:t>)</w:t>
      </w:r>
      <w:r w:rsidR="002A2836" w:rsidRPr="003C6EFE">
        <w:t xml:space="preserve"> and</w:t>
      </w:r>
      <w:r w:rsidR="002A2836">
        <w:t xml:space="preserve"> total phosphorus</w:t>
      </w:r>
      <w:r w:rsidR="002A2836" w:rsidRPr="003C6EFE">
        <w:t xml:space="preserve"> </w:t>
      </w:r>
      <w:r w:rsidR="002A2836">
        <w:t>(</w:t>
      </w:r>
      <w:r w:rsidR="002A2836" w:rsidRPr="003C6EFE">
        <w:t>TP</w:t>
      </w:r>
      <w:r w:rsidR="002A2836">
        <w:t>)</w:t>
      </w:r>
      <w:r w:rsidR="002A2836" w:rsidRPr="003C6EFE">
        <w:t xml:space="preserve"> </w:t>
      </w:r>
      <w:r w:rsidR="002A2836">
        <w:t>concentrations. T</w:t>
      </w:r>
      <w:r>
        <w:t xml:space="preserve">he </w:t>
      </w:r>
      <w:r w:rsidR="00001EA6" w:rsidRPr="003C6EFE">
        <w:t>NCWQR</w:t>
      </w:r>
      <w:r w:rsidR="002A2836">
        <w:t xml:space="preserve"> has monitored</w:t>
      </w:r>
      <w:r w:rsidR="00001EA6" w:rsidRPr="003C6EFE">
        <w:t xml:space="preserve"> nutrient concentrations </w:t>
      </w:r>
      <w:r w:rsidR="002A2836">
        <w:t xml:space="preserve">in northwest Ohio by </w:t>
      </w:r>
      <w:r w:rsidR="00001EA6" w:rsidRPr="003C6EFE">
        <w:t>collecting and analyzing water quality samples near the USGS station</w:t>
      </w:r>
      <w:r w:rsidR="00001EA6">
        <w:t>s</w:t>
      </w:r>
      <w:r w:rsidR="002A2836">
        <w:t xml:space="preserve"> using procedures and analytical methods described in </w:t>
      </w:r>
      <w:r w:rsidR="002A2836">
        <w:fldChar w:fldCharType="begin"/>
      </w:r>
      <w:r w:rsidR="002A2836">
        <w:instrText xml:space="preserve"> ADDIN EN.CITE &lt;EndNote&gt;&lt;Cite&gt;&lt;Author&gt;Baker&lt;/Author&gt;&lt;Year&gt;2014&lt;/Year&gt;&lt;RecNum&gt;16872&lt;/RecNum&gt;&lt;DisplayText&gt;(Baker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rsidR="002A2836">
        <w:fldChar w:fldCharType="separate"/>
      </w:r>
      <w:r w:rsidR="002A2836">
        <w:rPr>
          <w:noProof/>
        </w:rPr>
        <w:t>(Baker et al., 2014)</w:t>
      </w:r>
      <w:r w:rsidR="002A2836">
        <w:fldChar w:fldCharType="end"/>
      </w:r>
      <w:r w:rsidR="002A2836">
        <w:t xml:space="preserve">. Over the periods of interest, anywhere from 300-500 samples were collected per year per site. Prior to analysis, </w:t>
      </w:r>
      <w:r w:rsidR="002A2836" w:rsidRPr="002A2836">
        <w:t>we first</w:t>
      </w:r>
      <w:r w:rsidR="002A2836">
        <w:t xml:space="preserve"> aggregated sample concentrations into daily values by </w:t>
      </w:r>
      <w:r w:rsidR="00DF2E13">
        <w:t>calculating</w:t>
      </w:r>
      <w:r w:rsidR="002A2836">
        <w:t xml:space="preserve"> the </w:t>
      </w:r>
      <w:r w:rsidR="00DF2E13">
        <w:t>daily flow-weighted mean</w:t>
      </w:r>
      <w:r w:rsidR="002A2836">
        <w:t xml:space="preserve"> SRP and TP</w:t>
      </w:r>
      <w:r w:rsidR="002A2836" w:rsidRPr="002A2836">
        <w:t xml:space="preserve"> concentration </w:t>
      </w:r>
      <w:r w:rsidR="00DF2E13">
        <w:t xml:space="preserve">on days </w:t>
      </w:r>
      <w:r w:rsidR="002A2836" w:rsidRPr="002A2836">
        <w:t>when multiple measurements were available</w:t>
      </w:r>
      <w:r w:rsidR="00DF2E13">
        <w:t>. S</w:t>
      </w:r>
      <w:r w:rsidR="00DF2E13" w:rsidRPr="003C6EFE">
        <w:t xml:space="preserve">treamflow data </w:t>
      </w:r>
      <w:r w:rsidR="00DF2E13">
        <w:t xml:space="preserve">from nearby </w:t>
      </w:r>
      <w:r w:rsidR="00DF2E13" w:rsidRPr="003C6EFE">
        <w:t>were U.S. Geological Survey (USGS) gauging station</w:t>
      </w:r>
      <w:r w:rsidR="00DF2E13">
        <w:t>s were</w:t>
      </w:r>
      <w:r w:rsidR="00DF2E13" w:rsidRPr="003C6EFE">
        <w:t xml:space="preserve"> downloaded from the USGS data portal using the R package </w:t>
      </w:r>
      <w:proofErr w:type="spellStart"/>
      <w:r w:rsidR="00DF2E13" w:rsidRPr="003C6EFE">
        <w:rPr>
          <w:i/>
          <w:iCs/>
        </w:rPr>
        <w:t>dataRetrieval</w:t>
      </w:r>
      <w:proofErr w:type="spellEnd"/>
      <w:r w:rsidR="00DF2E13">
        <w:t xml:space="preserve">. All data were retrieved and </w:t>
      </w:r>
      <w:r w:rsidR="00C32B3F">
        <w:t>analyzed</w:t>
      </w:r>
      <w:r w:rsidR="00DF2E13">
        <w:t xml:space="preserve"> by water year (WY), which is defined as the 12-month period from October 1 through September 30 and associated with the calendar year in which the WY ends. </w:t>
      </w:r>
    </w:p>
    <w:p w14:paraId="58B0FF13" w14:textId="1887C148" w:rsidR="00B40330" w:rsidRDefault="00B40330" w:rsidP="00FC32AF">
      <w:pPr>
        <w:pStyle w:val="Caption"/>
      </w:pPr>
      <w:r>
        <w:t xml:space="preserve">Table </w:t>
      </w:r>
      <w:r w:rsidR="00D4064D">
        <w:t>1</w:t>
      </w:r>
      <w:r>
        <w:t>:</w:t>
      </w:r>
      <w:r w:rsidR="00FC32AF">
        <w:t xml:space="preserve"> Site descriptions</w:t>
      </w:r>
    </w:p>
    <w:tbl>
      <w:tblPr>
        <w:tblStyle w:val="TableGrid"/>
        <w:tblW w:w="0" w:type="auto"/>
        <w:tblLook w:val="04A0" w:firstRow="1" w:lastRow="0" w:firstColumn="1" w:lastColumn="0" w:noHBand="0" w:noVBand="1"/>
      </w:tblPr>
      <w:tblGrid>
        <w:gridCol w:w="1350"/>
        <w:gridCol w:w="896"/>
        <w:gridCol w:w="1204"/>
        <w:gridCol w:w="886"/>
        <w:gridCol w:w="778"/>
        <w:gridCol w:w="1271"/>
        <w:gridCol w:w="900"/>
        <w:gridCol w:w="1207"/>
      </w:tblGrid>
      <w:tr w:rsidR="00E83322" w:rsidRPr="00E83322" w14:paraId="5960F1F8" w14:textId="77777777" w:rsidTr="00E83322">
        <w:trPr>
          <w:trHeight w:val="323"/>
        </w:trPr>
        <w:tc>
          <w:tcPr>
            <w:tcW w:w="1350" w:type="dxa"/>
            <w:vMerge w:val="restart"/>
            <w:vAlign w:val="center"/>
          </w:tcPr>
          <w:p w14:paraId="62ED89E7" w14:textId="6BB8AF48" w:rsidR="00E83322" w:rsidRPr="00E83322" w:rsidRDefault="00E83322" w:rsidP="00E83322">
            <w:pPr>
              <w:spacing w:line="240" w:lineRule="auto"/>
              <w:jc w:val="center"/>
              <w:rPr>
                <w:rFonts w:cs="Times New Roman"/>
                <w:sz w:val="22"/>
              </w:rPr>
            </w:pPr>
            <w:r w:rsidRPr="00E83322">
              <w:rPr>
                <w:rFonts w:cs="Times New Roman"/>
                <w:sz w:val="22"/>
              </w:rPr>
              <w:t>Watershed</w:t>
            </w:r>
          </w:p>
        </w:tc>
        <w:tc>
          <w:tcPr>
            <w:tcW w:w="896" w:type="dxa"/>
            <w:vMerge w:val="restart"/>
            <w:vAlign w:val="center"/>
          </w:tcPr>
          <w:p w14:paraId="4DD05615" w14:textId="4F8D3446" w:rsidR="00E83322" w:rsidRPr="00E83322" w:rsidRDefault="00E83322" w:rsidP="00E83322">
            <w:pPr>
              <w:spacing w:line="240" w:lineRule="auto"/>
              <w:jc w:val="center"/>
              <w:rPr>
                <w:rFonts w:cs="Times New Roman"/>
                <w:sz w:val="22"/>
              </w:rPr>
            </w:pPr>
            <w:r w:rsidRPr="00E83322">
              <w:rPr>
                <w:rFonts w:cs="Times New Roman"/>
                <w:sz w:val="22"/>
              </w:rPr>
              <w:t>Area (km</w:t>
            </w:r>
            <w:r w:rsidRPr="00E83322">
              <w:rPr>
                <w:rFonts w:cs="Times New Roman"/>
                <w:sz w:val="22"/>
                <w:vertAlign w:val="superscript"/>
              </w:rPr>
              <w:t>2</w:t>
            </w:r>
            <w:r w:rsidRPr="00E83322">
              <w:rPr>
                <w:rFonts w:cs="Times New Roman"/>
                <w:sz w:val="22"/>
              </w:rPr>
              <w:t>)</w:t>
            </w:r>
          </w:p>
        </w:tc>
        <w:tc>
          <w:tcPr>
            <w:tcW w:w="1204" w:type="dxa"/>
            <w:vMerge w:val="restart"/>
            <w:vAlign w:val="center"/>
          </w:tcPr>
          <w:p w14:paraId="611B2C77" w14:textId="2DAC2FD7" w:rsidR="00E83322" w:rsidRPr="00E83322" w:rsidRDefault="00E83322" w:rsidP="00E83322">
            <w:pPr>
              <w:spacing w:line="240" w:lineRule="auto"/>
              <w:jc w:val="center"/>
              <w:rPr>
                <w:rFonts w:cs="Times New Roman"/>
                <w:sz w:val="22"/>
              </w:rPr>
            </w:pPr>
            <w:r w:rsidRPr="00E83322">
              <w:rPr>
                <w:rFonts w:cs="Times New Roman"/>
                <w:sz w:val="22"/>
              </w:rPr>
              <w:t>USGS Station ID</w:t>
            </w:r>
          </w:p>
        </w:tc>
        <w:tc>
          <w:tcPr>
            <w:tcW w:w="1664" w:type="dxa"/>
            <w:gridSpan w:val="2"/>
            <w:vAlign w:val="center"/>
          </w:tcPr>
          <w:p w14:paraId="62E54A3D" w14:textId="2D697BFF" w:rsidR="00E83322" w:rsidRPr="00E83322" w:rsidRDefault="00E83322" w:rsidP="00E83322">
            <w:pPr>
              <w:spacing w:line="240" w:lineRule="auto"/>
              <w:jc w:val="center"/>
              <w:rPr>
                <w:rFonts w:cs="Times New Roman"/>
                <w:sz w:val="22"/>
              </w:rPr>
            </w:pPr>
            <w:r w:rsidRPr="00E83322">
              <w:rPr>
                <w:rFonts w:cs="Times New Roman"/>
                <w:sz w:val="22"/>
              </w:rPr>
              <w:t>Data selected</w:t>
            </w:r>
          </w:p>
        </w:tc>
        <w:tc>
          <w:tcPr>
            <w:tcW w:w="1271" w:type="dxa"/>
            <w:vMerge w:val="restart"/>
            <w:vAlign w:val="center"/>
          </w:tcPr>
          <w:p w14:paraId="115DDFED" w14:textId="5C6997AD" w:rsidR="00E83322" w:rsidRPr="00E83322" w:rsidRDefault="00E83322" w:rsidP="00E83322">
            <w:pPr>
              <w:spacing w:line="240" w:lineRule="auto"/>
              <w:jc w:val="center"/>
              <w:rPr>
                <w:rFonts w:cs="Times New Roman"/>
                <w:sz w:val="22"/>
              </w:rPr>
            </w:pPr>
            <w:r w:rsidRPr="00E83322">
              <w:rPr>
                <w:rFonts w:cs="Times New Roman"/>
                <w:sz w:val="22"/>
              </w:rPr>
              <w:t>Agriculture (%)</w:t>
            </w:r>
          </w:p>
        </w:tc>
        <w:tc>
          <w:tcPr>
            <w:tcW w:w="900" w:type="dxa"/>
            <w:vMerge w:val="restart"/>
            <w:vAlign w:val="center"/>
          </w:tcPr>
          <w:p w14:paraId="78A302FB" w14:textId="3B20312C" w:rsidR="00E83322" w:rsidRPr="00E83322" w:rsidRDefault="00E83322" w:rsidP="00E83322">
            <w:pPr>
              <w:spacing w:line="240" w:lineRule="auto"/>
              <w:jc w:val="center"/>
              <w:rPr>
                <w:rFonts w:cs="Times New Roman"/>
                <w:sz w:val="22"/>
              </w:rPr>
            </w:pPr>
            <w:r w:rsidRPr="00E83322">
              <w:rPr>
                <w:rFonts w:cs="Times New Roman"/>
                <w:sz w:val="22"/>
              </w:rPr>
              <w:t>Urban (%)</w:t>
            </w:r>
          </w:p>
        </w:tc>
        <w:tc>
          <w:tcPr>
            <w:tcW w:w="1207" w:type="dxa"/>
            <w:vMerge w:val="restart"/>
            <w:vAlign w:val="center"/>
          </w:tcPr>
          <w:p w14:paraId="20B64B66" w14:textId="5C97E929" w:rsidR="00E83322" w:rsidRPr="00E83322" w:rsidRDefault="00E83322" w:rsidP="00E83322">
            <w:pPr>
              <w:spacing w:line="240" w:lineRule="auto"/>
              <w:jc w:val="center"/>
              <w:rPr>
                <w:rFonts w:cs="Times New Roman"/>
                <w:sz w:val="22"/>
              </w:rPr>
            </w:pPr>
            <w:r w:rsidRPr="00E83322">
              <w:rPr>
                <w:rFonts w:cs="Times New Roman"/>
                <w:sz w:val="22"/>
              </w:rPr>
              <w:t>Subject to NM rules</w:t>
            </w:r>
          </w:p>
        </w:tc>
      </w:tr>
      <w:tr w:rsidR="00E83322" w:rsidRPr="00E83322" w14:paraId="37514064" w14:textId="77777777" w:rsidTr="00E83322">
        <w:trPr>
          <w:trHeight w:val="171"/>
        </w:trPr>
        <w:tc>
          <w:tcPr>
            <w:tcW w:w="1350" w:type="dxa"/>
            <w:vMerge/>
            <w:vAlign w:val="center"/>
          </w:tcPr>
          <w:p w14:paraId="772F91FB" w14:textId="77777777" w:rsidR="00E83322" w:rsidRPr="00E83322" w:rsidRDefault="00E83322" w:rsidP="00E83322">
            <w:pPr>
              <w:spacing w:line="240" w:lineRule="auto"/>
              <w:jc w:val="center"/>
              <w:rPr>
                <w:rFonts w:cs="Times New Roman"/>
                <w:sz w:val="22"/>
              </w:rPr>
            </w:pPr>
          </w:p>
        </w:tc>
        <w:tc>
          <w:tcPr>
            <w:tcW w:w="896" w:type="dxa"/>
            <w:vMerge/>
            <w:vAlign w:val="center"/>
          </w:tcPr>
          <w:p w14:paraId="770030AF" w14:textId="68F76C2B" w:rsidR="00E83322" w:rsidRPr="00E83322" w:rsidRDefault="00E83322" w:rsidP="00E83322">
            <w:pPr>
              <w:spacing w:line="240" w:lineRule="auto"/>
              <w:jc w:val="center"/>
              <w:rPr>
                <w:rFonts w:cs="Times New Roman"/>
                <w:sz w:val="22"/>
              </w:rPr>
            </w:pPr>
          </w:p>
        </w:tc>
        <w:tc>
          <w:tcPr>
            <w:tcW w:w="1204" w:type="dxa"/>
            <w:vMerge/>
            <w:vAlign w:val="center"/>
          </w:tcPr>
          <w:p w14:paraId="24A1C77B" w14:textId="77777777" w:rsidR="00E83322" w:rsidRPr="00E83322" w:rsidRDefault="00E83322" w:rsidP="00E83322">
            <w:pPr>
              <w:spacing w:line="240" w:lineRule="auto"/>
              <w:jc w:val="center"/>
              <w:rPr>
                <w:rFonts w:cs="Times New Roman"/>
                <w:sz w:val="22"/>
              </w:rPr>
            </w:pPr>
          </w:p>
        </w:tc>
        <w:tc>
          <w:tcPr>
            <w:tcW w:w="886" w:type="dxa"/>
            <w:vAlign w:val="center"/>
          </w:tcPr>
          <w:p w14:paraId="5D5895FE" w14:textId="6A85A898" w:rsidR="00E83322" w:rsidRPr="00E83322" w:rsidRDefault="00E83322" w:rsidP="00E83322">
            <w:pPr>
              <w:spacing w:line="240" w:lineRule="auto"/>
              <w:jc w:val="center"/>
              <w:rPr>
                <w:rFonts w:cs="Times New Roman"/>
                <w:sz w:val="22"/>
              </w:rPr>
            </w:pPr>
            <w:r w:rsidRPr="00E83322">
              <w:rPr>
                <w:rFonts w:cs="Times New Roman"/>
                <w:sz w:val="22"/>
              </w:rPr>
              <w:t>Begin</w:t>
            </w:r>
          </w:p>
        </w:tc>
        <w:tc>
          <w:tcPr>
            <w:tcW w:w="778" w:type="dxa"/>
            <w:vAlign w:val="center"/>
          </w:tcPr>
          <w:p w14:paraId="2A7F2B2F" w14:textId="3374E762" w:rsidR="00E83322" w:rsidRPr="00E83322" w:rsidRDefault="00E83322" w:rsidP="00E83322">
            <w:pPr>
              <w:spacing w:line="240" w:lineRule="auto"/>
              <w:jc w:val="center"/>
              <w:rPr>
                <w:rFonts w:cs="Times New Roman"/>
                <w:sz w:val="22"/>
              </w:rPr>
            </w:pPr>
            <w:r w:rsidRPr="00E83322">
              <w:rPr>
                <w:rFonts w:cs="Times New Roman"/>
                <w:sz w:val="22"/>
              </w:rPr>
              <w:t>End</w:t>
            </w:r>
          </w:p>
        </w:tc>
        <w:tc>
          <w:tcPr>
            <w:tcW w:w="1271" w:type="dxa"/>
            <w:vMerge/>
            <w:vAlign w:val="center"/>
          </w:tcPr>
          <w:p w14:paraId="6BA871DA" w14:textId="77777777" w:rsidR="00E83322" w:rsidRPr="00E83322" w:rsidRDefault="00E83322" w:rsidP="00E83322">
            <w:pPr>
              <w:spacing w:line="240" w:lineRule="auto"/>
              <w:jc w:val="center"/>
              <w:rPr>
                <w:rFonts w:cs="Times New Roman"/>
                <w:sz w:val="22"/>
              </w:rPr>
            </w:pPr>
          </w:p>
        </w:tc>
        <w:tc>
          <w:tcPr>
            <w:tcW w:w="900" w:type="dxa"/>
            <w:vMerge/>
            <w:vAlign w:val="center"/>
          </w:tcPr>
          <w:p w14:paraId="73D43206" w14:textId="77777777" w:rsidR="00E83322" w:rsidRPr="00E83322" w:rsidRDefault="00E83322" w:rsidP="00E83322">
            <w:pPr>
              <w:spacing w:line="240" w:lineRule="auto"/>
              <w:jc w:val="center"/>
              <w:rPr>
                <w:rFonts w:cs="Times New Roman"/>
                <w:sz w:val="22"/>
              </w:rPr>
            </w:pPr>
          </w:p>
        </w:tc>
        <w:tc>
          <w:tcPr>
            <w:tcW w:w="1207" w:type="dxa"/>
            <w:vMerge/>
            <w:vAlign w:val="center"/>
          </w:tcPr>
          <w:p w14:paraId="2E8FFE2D" w14:textId="77777777" w:rsidR="00E83322" w:rsidRPr="00E83322" w:rsidRDefault="00E83322" w:rsidP="00E83322">
            <w:pPr>
              <w:spacing w:line="240" w:lineRule="auto"/>
              <w:jc w:val="center"/>
              <w:rPr>
                <w:rFonts w:cs="Times New Roman"/>
                <w:sz w:val="22"/>
              </w:rPr>
            </w:pPr>
          </w:p>
        </w:tc>
      </w:tr>
      <w:tr w:rsidR="00E83322" w:rsidRPr="00E83322" w14:paraId="31F9532E" w14:textId="77777777" w:rsidTr="00E83322">
        <w:trPr>
          <w:trHeight w:val="323"/>
        </w:trPr>
        <w:tc>
          <w:tcPr>
            <w:tcW w:w="1350" w:type="dxa"/>
            <w:vAlign w:val="center"/>
          </w:tcPr>
          <w:p w14:paraId="431FFC3E" w14:textId="3A13D3F8" w:rsidR="00E83322" w:rsidRPr="00E83322" w:rsidRDefault="00E83322" w:rsidP="00E83322">
            <w:pPr>
              <w:spacing w:line="240" w:lineRule="auto"/>
              <w:jc w:val="center"/>
              <w:rPr>
                <w:rFonts w:cs="Times New Roman"/>
                <w:sz w:val="22"/>
              </w:rPr>
            </w:pPr>
            <w:r w:rsidRPr="00E83322">
              <w:rPr>
                <w:rFonts w:cs="Times New Roman"/>
                <w:sz w:val="22"/>
              </w:rPr>
              <w:t>Blanchard</w:t>
            </w:r>
          </w:p>
        </w:tc>
        <w:tc>
          <w:tcPr>
            <w:tcW w:w="896" w:type="dxa"/>
            <w:vAlign w:val="center"/>
          </w:tcPr>
          <w:p w14:paraId="3D1CAE0A" w14:textId="2A898E41" w:rsidR="00E83322" w:rsidRPr="00E83322" w:rsidRDefault="00E83322" w:rsidP="00E83322">
            <w:pPr>
              <w:spacing w:line="240" w:lineRule="auto"/>
              <w:jc w:val="center"/>
              <w:rPr>
                <w:rFonts w:cs="Times New Roman"/>
                <w:sz w:val="22"/>
              </w:rPr>
            </w:pPr>
            <w:r w:rsidRPr="00E83322">
              <w:rPr>
                <w:rFonts w:cs="Times New Roman"/>
                <w:sz w:val="22"/>
              </w:rPr>
              <w:t>896</w:t>
            </w:r>
          </w:p>
        </w:tc>
        <w:tc>
          <w:tcPr>
            <w:tcW w:w="1204" w:type="dxa"/>
            <w:vAlign w:val="center"/>
          </w:tcPr>
          <w:p w14:paraId="436F4C43" w14:textId="242B70A8" w:rsidR="00E83322" w:rsidRPr="00E83322" w:rsidRDefault="00E83322" w:rsidP="00E83322">
            <w:pPr>
              <w:spacing w:line="240" w:lineRule="auto"/>
              <w:jc w:val="center"/>
              <w:rPr>
                <w:rFonts w:cs="Times New Roman"/>
                <w:sz w:val="22"/>
              </w:rPr>
            </w:pPr>
            <w:r w:rsidRPr="00E83322">
              <w:rPr>
                <w:rFonts w:cs="Times New Roman"/>
                <w:color w:val="000000"/>
                <w:sz w:val="22"/>
              </w:rPr>
              <w:t>04193500</w:t>
            </w:r>
          </w:p>
        </w:tc>
        <w:tc>
          <w:tcPr>
            <w:tcW w:w="886" w:type="dxa"/>
            <w:vAlign w:val="center"/>
          </w:tcPr>
          <w:p w14:paraId="104D9578" w14:textId="39F39C49" w:rsidR="00E83322" w:rsidRPr="00E83322" w:rsidRDefault="00E83322" w:rsidP="00E83322">
            <w:pPr>
              <w:spacing w:line="240" w:lineRule="auto"/>
              <w:jc w:val="center"/>
              <w:rPr>
                <w:rFonts w:cs="Times New Roman"/>
                <w:sz w:val="22"/>
              </w:rPr>
            </w:pPr>
            <w:r w:rsidRPr="00E83322">
              <w:rPr>
                <w:rFonts w:cs="Times New Roman"/>
                <w:sz w:val="22"/>
              </w:rPr>
              <w:t>2008</w:t>
            </w:r>
          </w:p>
        </w:tc>
        <w:tc>
          <w:tcPr>
            <w:tcW w:w="778" w:type="dxa"/>
            <w:vAlign w:val="center"/>
          </w:tcPr>
          <w:p w14:paraId="0B6BDC49" w14:textId="78EFA53A" w:rsidR="00E83322" w:rsidRPr="00E83322" w:rsidRDefault="00E83322" w:rsidP="00E83322">
            <w:pPr>
              <w:spacing w:line="240" w:lineRule="auto"/>
              <w:jc w:val="center"/>
              <w:rPr>
                <w:rFonts w:cs="Times New Roman"/>
                <w:sz w:val="22"/>
              </w:rPr>
            </w:pPr>
            <w:r w:rsidRPr="00E83322">
              <w:rPr>
                <w:rFonts w:cs="Times New Roman"/>
                <w:sz w:val="22"/>
              </w:rPr>
              <w:t>2022</w:t>
            </w:r>
          </w:p>
        </w:tc>
        <w:tc>
          <w:tcPr>
            <w:tcW w:w="1271" w:type="dxa"/>
            <w:vAlign w:val="center"/>
          </w:tcPr>
          <w:p w14:paraId="43EE9F22" w14:textId="01DD6449" w:rsidR="00E83322" w:rsidRPr="00E83322" w:rsidRDefault="00E83322" w:rsidP="00E83322">
            <w:pPr>
              <w:spacing w:line="240" w:lineRule="auto"/>
              <w:jc w:val="center"/>
              <w:rPr>
                <w:rFonts w:cs="Times New Roman"/>
                <w:sz w:val="22"/>
              </w:rPr>
            </w:pPr>
            <w:r w:rsidRPr="00E83322">
              <w:rPr>
                <w:rFonts w:cs="Times New Roman"/>
                <w:sz w:val="22"/>
              </w:rPr>
              <w:t>79</w:t>
            </w:r>
          </w:p>
        </w:tc>
        <w:tc>
          <w:tcPr>
            <w:tcW w:w="900" w:type="dxa"/>
            <w:vAlign w:val="center"/>
          </w:tcPr>
          <w:p w14:paraId="3A436D01" w14:textId="79D16F99" w:rsidR="00E83322" w:rsidRPr="00E83322" w:rsidRDefault="00E83322" w:rsidP="00E83322">
            <w:pPr>
              <w:spacing w:line="240" w:lineRule="auto"/>
              <w:jc w:val="center"/>
              <w:rPr>
                <w:rFonts w:cs="Times New Roman"/>
                <w:sz w:val="22"/>
              </w:rPr>
            </w:pPr>
            <w:r w:rsidRPr="00E83322">
              <w:rPr>
                <w:rFonts w:cs="Times New Roman"/>
                <w:sz w:val="22"/>
              </w:rPr>
              <w:t>10</w:t>
            </w:r>
          </w:p>
        </w:tc>
        <w:tc>
          <w:tcPr>
            <w:tcW w:w="1207" w:type="dxa"/>
            <w:vAlign w:val="center"/>
          </w:tcPr>
          <w:p w14:paraId="47B98C8A" w14:textId="6F93BBF5" w:rsidR="00E83322" w:rsidRPr="00E83322" w:rsidRDefault="00E83322" w:rsidP="00E83322">
            <w:pPr>
              <w:spacing w:line="240" w:lineRule="auto"/>
              <w:jc w:val="center"/>
              <w:rPr>
                <w:rFonts w:cs="Times New Roman"/>
                <w:sz w:val="22"/>
              </w:rPr>
            </w:pPr>
            <w:r w:rsidRPr="00E83322">
              <w:rPr>
                <w:rFonts w:cs="Times New Roman"/>
                <w:sz w:val="22"/>
              </w:rPr>
              <w:t>Y</w:t>
            </w:r>
          </w:p>
        </w:tc>
      </w:tr>
      <w:tr w:rsidR="00E83322" w:rsidRPr="00E83322" w14:paraId="25D19646" w14:textId="77777777" w:rsidTr="00E83322">
        <w:trPr>
          <w:trHeight w:val="341"/>
        </w:trPr>
        <w:tc>
          <w:tcPr>
            <w:tcW w:w="1350" w:type="dxa"/>
            <w:vAlign w:val="center"/>
          </w:tcPr>
          <w:p w14:paraId="2C26A0F8" w14:textId="3C2B4B4E" w:rsidR="00E83322" w:rsidRPr="00E83322" w:rsidRDefault="00E83322" w:rsidP="00E83322">
            <w:pPr>
              <w:spacing w:line="240" w:lineRule="auto"/>
              <w:jc w:val="center"/>
              <w:rPr>
                <w:rFonts w:cs="Times New Roman"/>
                <w:sz w:val="22"/>
              </w:rPr>
            </w:pPr>
            <w:r w:rsidRPr="00E83322">
              <w:rPr>
                <w:rFonts w:cs="Times New Roman"/>
                <w:sz w:val="22"/>
              </w:rPr>
              <w:t>Honey</w:t>
            </w:r>
          </w:p>
        </w:tc>
        <w:tc>
          <w:tcPr>
            <w:tcW w:w="896" w:type="dxa"/>
            <w:vAlign w:val="center"/>
          </w:tcPr>
          <w:p w14:paraId="60FA0729" w14:textId="63EED292" w:rsidR="00E83322" w:rsidRPr="00E83322" w:rsidRDefault="00E83322" w:rsidP="00E83322">
            <w:pPr>
              <w:spacing w:line="240" w:lineRule="auto"/>
              <w:jc w:val="center"/>
              <w:rPr>
                <w:rFonts w:cs="Times New Roman"/>
                <w:sz w:val="22"/>
              </w:rPr>
            </w:pPr>
            <w:r w:rsidRPr="00E83322">
              <w:rPr>
                <w:rFonts w:cs="Times New Roman"/>
                <w:color w:val="000000"/>
                <w:sz w:val="22"/>
              </w:rPr>
              <w:t>386</w:t>
            </w:r>
          </w:p>
        </w:tc>
        <w:tc>
          <w:tcPr>
            <w:tcW w:w="1204" w:type="dxa"/>
            <w:vAlign w:val="center"/>
          </w:tcPr>
          <w:p w14:paraId="17F8C9A0" w14:textId="318DAB68" w:rsidR="00E83322" w:rsidRPr="00E83322" w:rsidRDefault="00E83322" w:rsidP="00E83322">
            <w:pPr>
              <w:spacing w:line="240" w:lineRule="auto"/>
              <w:jc w:val="center"/>
              <w:rPr>
                <w:rFonts w:cs="Times New Roman"/>
                <w:sz w:val="22"/>
              </w:rPr>
            </w:pPr>
            <w:r w:rsidRPr="00E83322">
              <w:rPr>
                <w:rFonts w:cs="Times New Roman"/>
                <w:color w:val="000000"/>
                <w:sz w:val="22"/>
              </w:rPr>
              <w:t>04185000</w:t>
            </w:r>
          </w:p>
        </w:tc>
        <w:tc>
          <w:tcPr>
            <w:tcW w:w="886" w:type="dxa"/>
            <w:vAlign w:val="center"/>
          </w:tcPr>
          <w:p w14:paraId="72F18B28" w14:textId="356F4429" w:rsidR="00E83322" w:rsidRPr="00E83322" w:rsidRDefault="00E83322" w:rsidP="00E83322">
            <w:pPr>
              <w:spacing w:line="240" w:lineRule="auto"/>
              <w:jc w:val="center"/>
              <w:rPr>
                <w:rFonts w:cs="Times New Roman"/>
                <w:sz w:val="22"/>
              </w:rPr>
            </w:pPr>
            <w:r w:rsidRPr="00E83322">
              <w:rPr>
                <w:rFonts w:cs="Times New Roman"/>
                <w:sz w:val="22"/>
              </w:rPr>
              <w:t>2008</w:t>
            </w:r>
          </w:p>
        </w:tc>
        <w:tc>
          <w:tcPr>
            <w:tcW w:w="778" w:type="dxa"/>
            <w:vAlign w:val="center"/>
          </w:tcPr>
          <w:p w14:paraId="37746083" w14:textId="6E586972" w:rsidR="00E83322" w:rsidRPr="00E83322" w:rsidRDefault="00E83322" w:rsidP="00E83322">
            <w:pPr>
              <w:spacing w:line="240" w:lineRule="auto"/>
              <w:jc w:val="center"/>
              <w:rPr>
                <w:rFonts w:cs="Times New Roman"/>
                <w:sz w:val="22"/>
              </w:rPr>
            </w:pPr>
            <w:r w:rsidRPr="00E83322">
              <w:rPr>
                <w:rFonts w:cs="Times New Roman"/>
                <w:sz w:val="22"/>
              </w:rPr>
              <w:t>2022</w:t>
            </w:r>
          </w:p>
        </w:tc>
        <w:tc>
          <w:tcPr>
            <w:tcW w:w="1271" w:type="dxa"/>
            <w:vAlign w:val="center"/>
          </w:tcPr>
          <w:p w14:paraId="06A7597C" w14:textId="791EB4C4" w:rsidR="00E83322" w:rsidRPr="00E83322" w:rsidRDefault="00E83322" w:rsidP="00E83322">
            <w:pPr>
              <w:spacing w:line="240" w:lineRule="auto"/>
              <w:jc w:val="center"/>
              <w:rPr>
                <w:rFonts w:cs="Times New Roman"/>
                <w:sz w:val="22"/>
              </w:rPr>
            </w:pPr>
            <w:r w:rsidRPr="00E83322">
              <w:rPr>
                <w:rFonts w:cs="Times New Roman"/>
                <w:sz w:val="22"/>
              </w:rPr>
              <w:t>81</w:t>
            </w:r>
          </w:p>
        </w:tc>
        <w:tc>
          <w:tcPr>
            <w:tcW w:w="900" w:type="dxa"/>
            <w:vAlign w:val="center"/>
          </w:tcPr>
          <w:p w14:paraId="47A6CB15" w14:textId="72B34607" w:rsidR="00E83322" w:rsidRPr="00E83322" w:rsidRDefault="00E83322" w:rsidP="00E83322">
            <w:pPr>
              <w:spacing w:line="240" w:lineRule="auto"/>
              <w:jc w:val="center"/>
              <w:rPr>
                <w:rFonts w:cs="Times New Roman"/>
                <w:sz w:val="22"/>
              </w:rPr>
            </w:pPr>
            <w:r w:rsidRPr="00E83322">
              <w:rPr>
                <w:rFonts w:cs="Times New Roman"/>
                <w:sz w:val="22"/>
              </w:rPr>
              <w:t>7</w:t>
            </w:r>
          </w:p>
        </w:tc>
        <w:tc>
          <w:tcPr>
            <w:tcW w:w="1207" w:type="dxa"/>
            <w:vAlign w:val="center"/>
          </w:tcPr>
          <w:p w14:paraId="64C9CF7A" w14:textId="119EAC34" w:rsidR="00E83322" w:rsidRPr="00E83322" w:rsidRDefault="00E83322" w:rsidP="00E83322">
            <w:pPr>
              <w:spacing w:line="240" w:lineRule="auto"/>
              <w:jc w:val="center"/>
              <w:rPr>
                <w:rFonts w:cs="Times New Roman"/>
                <w:sz w:val="22"/>
              </w:rPr>
            </w:pPr>
            <w:r w:rsidRPr="00E83322">
              <w:rPr>
                <w:rFonts w:cs="Times New Roman"/>
                <w:sz w:val="22"/>
              </w:rPr>
              <w:t>Y</w:t>
            </w:r>
          </w:p>
        </w:tc>
      </w:tr>
      <w:tr w:rsidR="00E83322" w:rsidRPr="00E83322" w14:paraId="56892A2F" w14:textId="77777777" w:rsidTr="00E83322">
        <w:trPr>
          <w:trHeight w:val="341"/>
        </w:trPr>
        <w:tc>
          <w:tcPr>
            <w:tcW w:w="1350" w:type="dxa"/>
            <w:vAlign w:val="center"/>
          </w:tcPr>
          <w:p w14:paraId="747ED1F8" w14:textId="47F6D931" w:rsidR="00E83322" w:rsidRPr="00E83322" w:rsidRDefault="00E83322" w:rsidP="00E83322">
            <w:pPr>
              <w:spacing w:line="240" w:lineRule="auto"/>
              <w:jc w:val="center"/>
              <w:rPr>
                <w:rFonts w:cs="Times New Roman"/>
                <w:sz w:val="22"/>
              </w:rPr>
            </w:pPr>
            <w:r w:rsidRPr="00E83322">
              <w:rPr>
                <w:rFonts w:cs="Times New Roman"/>
                <w:sz w:val="22"/>
              </w:rPr>
              <w:t>Maumee</w:t>
            </w:r>
          </w:p>
        </w:tc>
        <w:tc>
          <w:tcPr>
            <w:tcW w:w="896" w:type="dxa"/>
            <w:vAlign w:val="center"/>
          </w:tcPr>
          <w:p w14:paraId="404A0F6E" w14:textId="5C111044" w:rsidR="00E83322" w:rsidRPr="00E83322" w:rsidRDefault="00E83322" w:rsidP="00E83322">
            <w:pPr>
              <w:spacing w:line="240" w:lineRule="auto"/>
              <w:jc w:val="center"/>
              <w:rPr>
                <w:rFonts w:cs="Times New Roman"/>
                <w:sz w:val="22"/>
              </w:rPr>
            </w:pPr>
            <w:r w:rsidRPr="00E83322">
              <w:rPr>
                <w:rFonts w:cs="Times New Roman"/>
                <w:color w:val="000000"/>
                <w:sz w:val="22"/>
              </w:rPr>
              <w:t>16388</w:t>
            </w:r>
          </w:p>
        </w:tc>
        <w:tc>
          <w:tcPr>
            <w:tcW w:w="1204" w:type="dxa"/>
            <w:vAlign w:val="center"/>
          </w:tcPr>
          <w:p w14:paraId="614C73AE" w14:textId="22F58E79" w:rsidR="00E83322" w:rsidRPr="00E83322" w:rsidRDefault="00E83322" w:rsidP="00E83322">
            <w:pPr>
              <w:spacing w:line="240" w:lineRule="auto"/>
              <w:jc w:val="center"/>
              <w:rPr>
                <w:rFonts w:cs="Times New Roman"/>
                <w:sz w:val="22"/>
              </w:rPr>
            </w:pPr>
            <w:r w:rsidRPr="00E83322">
              <w:rPr>
                <w:rFonts w:cs="Times New Roman"/>
                <w:color w:val="000000"/>
                <w:sz w:val="22"/>
              </w:rPr>
              <w:t>04189000</w:t>
            </w:r>
          </w:p>
        </w:tc>
        <w:tc>
          <w:tcPr>
            <w:tcW w:w="886" w:type="dxa"/>
            <w:vAlign w:val="center"/>
          </w:tcPr>
          <w:p w14:paraId="743EBE02" w14:textId="0896A985" w:rsidR="00E83322" w:rsidRPr="00E83322" w:rsidRDefault="00E83322" w:rsidP="00E83322">
            <w:pPr>
              <w:spacing w:line="240" w:lineRule="auto"/>
              <w:jc w:val="center"/>
              <w:rPr>
                <w:rFonts w:cs="Times New Roman"/>
                <w:sz w:val="22"/>
              </w:rPr>
            </w:pPr>
            <w:r w:rsidRPr="00E83322">
              <w:rPr>
                <w:rFonts w:cs="Times New Roman"/>
                <w:sz w:val="22"/>
              </w:rPr>
              <w:t>2008</w:t>
            </w:r>
          </w:p>
        </w:tc>
        <w:tc>
          <w:tcPr>
            <w:tcW w:w="778" w:type="dxa"/>
            <w:vAlign w:val="center"/>
          </w:tcPr>
          <w:p w14:paraId="260C44C5" w14:textId="65B4EC40" w:rsidR="00E83322" w:rsidRPr="00E83322" w:rsidRDefault="00E83322" w:rsidP="00E83322">
            <w:pPr>
              <w:spacing w:line="240" w:lineRule="auto"/>
              <w:jc w:val="center"/>
              <w:rPr>
                <w:rFonts w:cs="Times New Roman"/>
                <w:sz w:val="22"/>
              </w:rPr>
            </w:pPr>
            <w:r w:rsidRPr="00E83322">
              <w:rPr>
                <w:rFonts w:cs="Times New Roman"/>
                <w:sz w:val="22"/>
              </w:rPr>
              <w:t>2022</w:t>
            </w:r>
          </w:p>
        </w:tc>
        <w:tc>
          <w:tcPr>
            <w:tcW w:w="1271" w:type="dxa"/>
            <w:vAlign w:val="center"/>
          </w:tcPr>
          <w:p w14:paraId="3FB6FEBA" w14:textId="541E7894" w:rsidR="00E83322" w:rsidRPr="00E83322" w:rsidRDefault="00E83322" w:rsidP="00E83322">
            <w:pPr>
              <w:spacing w:line="240" w:lineRule="auto"/>
              <w:jc w:val="center"/>
              <w:rPr>
                <w:rFonts w:cs="Times New Roman"/>
                <w:sz w:val="22"/>
              </w:rPr>
            </w:pPr>
            <w:r w:rsidRPr="00E83322">
              <w:rPr>
                <w:rFonts w:cs="Times New Roman"/>
                <w:sz w:val="22"/>
              </w:rPr>
              <w:t>73</w:t>
            </w:r>
          </w:p>
        </w:tc>
        <w:tc>
          <w:tcPr>
            <w:tcW w:w="900" w:type="dxa"/>
            <w:vAlign w:val="center"/>
          </w:tcPr>
          <w:p w14:paraId="249467B6" w14:textId="25A1A3FC" w:rsidR="00E83322" w:rsidRPr="00E83322" w:rsidRDefault="00E83322" w:rsidP="00E83322">
            <w:pPr>
              <w:spacing w:line="240" w:lineRule="auto"/>
              <w:jc w:val="center"/>
              <w:rPr>
                <w:rFonts w:cs="Times New Roman"/>
                <w:sz w:val="22"/>
              </w:rPr>
            </w:pPr>
            <w:r w:rsidRPr="00E83322">
              <w:rPr>
                <w:rFonts w:cs="Times New Roman"/>
                <w:sz w:val="22"/>
              </w:rPr>
              <w:t>11</w:t>
            </w:r>
          </w:p>
        </w:tc>
        <w:tc>
          <w:tcPr>
            <w:tcW w:w="1207" w:type="dxa"/>
            <w:vAlign w:val="center"/>
          </w:tcPr>
          <w:p w14:paraId="6C5B64AA" w14:textId="0F4106A8" w:rsidR="00E83322" w:rsidRPr="00E83322" w:rsidRDefault="00E83322" w:rsidP="00E83322">
            <w:pPr>
              <w:spacing w:line="240" w:lineRule="auto"/>
              <w:jc w:val="center"/>
              <w:rPr>
                <w:rFonts w:cs="Times New Roman"/>
                <w:sz w:val="22"/>
              </w:rPr>
            </w:pPr>
            <w:r w:rsidRPr="00E83322">
              <w:rPr>
                <w:rFonts w:cs="Times New Roman"/>
                <w:sz w:val="22"/>
              </w:rPr>
              <w:t>Y</w:t>
            </w:r>
          </w:p>
        </w:tc>
      </w:tr>
      <w:tr w:rsidR="00E83322" w:rsidRPr="00E83322" w14:paraId="752A165F" w14:textId="77777777" w:rsidTr="00E83322">
        <w:trPr>
          <w:trHeight w:val="358"/>
        </w:trPr>
        <w:tc>
          <w:tcPr>
            <w:tcW w:w="1350" w:type="dxa"/>
            <w:vAlign w:val="center"/>
          </w:tcPr>
          <w:p w14:paraId="21E88D77" w14:textId="514009F1" w:rsidR="00E83322" w:rsidRPr="00E83322" w:rsidRDefault="00E83322" w:rsidP="00E83322">
            <w:pPr>
              <w:spacing w:line="240" w:lineRule="auto"/>
              <w:jc w:val="center"/>
              <w:rPr>
                <w:rFonts w:cs="Times New Roman"/>
                <w:sz w:val="22"/>
              </w:rPr>
            </w:pPr>
            <w:r w:rsidRPr="00E83322">
              <w:rPr>
                <w:rFonts w:cs="Times New Roman"/>
                <w:sz w:val="22"/>
              </w:rPr>
              <w:t>Raisin</w:t>
            </w:r>
          </w:p>
        </w:tc>
        <w:tc>
          <w:tcPr>
            <w:tcW w:w="896" w:type="dxa"/>
            <w:vAlign w:val="center"/>
          </w:tcPr>
          <w:p w14:paraId="7187D616" w14:textId="32795DEA" w:rsidR="00E83322" w:rsidRPr="00E83322" w:rsidRDefault="00E83322" w:rsidP="00E83322">
            <w:pPr>
              <w:spacing w:line="240" w:lineRule="auto"/>
              <w:jc w:val="center"/>
              <w:rPr>
                <w:rFonts w:cs="Times New Roman"/>
                <w:sz w:val="22"/>
              </w:rPr>
            </w:pPr>
            <w:r w:rsidRPr="00E83322">
              <w:rPr>
                <w:rFonts w:cs="Times New Roman"/>
                <w:color w:val="000000"/>
                <w:sz w:val="22"/>
              </w:rPr>
              <w:t>2698</w:t>
            </w:r>
          </w:p>
        </w:tc>
        <w:tc>
          <w:tcPr>
            <w:tcW w:w="1204" w:type="dxa"/>
            <w:vAlign w:val="center"/>
          </w:tcPr>
          <w:p w14:paraId="045DD95F" w14:textId="41677BB1" w:rsidR="00E83322" w:rsidRPr="00E83322" w:rsidRDefault="00E83322" w:rsidP="00E83322">
            <w:pPr>
              <w:spacing w:line="240" w:lineRule="auto"/>
              <w:jc w:val="center"/>
              <w:rPr>
                <w:rFonts w:cs="Times New Roman"/>
                <w:sz w:val="22"/>
              </w:rPr>
            </w:pPr>
            <w:r w:rsidRPr="00E83322">
              <w:rPr>
                <w:rFonts w:cs="Times New Roman"/>
                <w:color w:val="000000"/>
                <w:sz w:val="22"/>
              </w:rPr>
              <w:t>04198000</w:t>
            </w:r>
          </w:p>
        </w:tc>
        <w:tc>
          <w:tcPr>
            <w:tcW w:w="886" w:type="dxa"/>
            <w:vAlign w:val="center"/>
          </w:tcPr>
          <w:p w14:paraId="032CEB41" w14:textId="16F217E1" w:rsidR="00E83322" w:rsidRPr="00E83322" w:rsidRDefault="00E83322" w:rsidP="00E83322">
            <w:pPr>
              <w:spacing w:line="240" w:lineRule="auto"/>
              <w:jc w:val="center"/>
              <w:rPr>
                <w:rFonts w:cs="Times New Roman"/>
                <w:sz w:val="22"/>
              </w:rPr>
            </w:pPr>
            <w:r w:rsidRPr="00E83322">
              <w:rPr>
                <w:rFonts w:cs="Times New Roman"/>
                <w:sz w:val="22"/>
              </w:rPr>
              <w:t>2008</w:t>
            </w:r>
          </w:p>
        </w:tc>
        <w:tc>
          <w:tcPr>
            <w:tcW w:w="778" w:type="dxa"/>
            <w:vAlign w:val="center"/>
          </w:tcPr>
          <w:p w14:paraId="6D49C765" w14:textId="26CD6F37" w:rsidR="00E83322" w:rsidRPr="00E83322" w:rsidRDefault="00E83322" w:rsidP="00E83322">
            <w:pPr>
              <w:spacing w:line="240" w:lineRule="auto"/>
              <w:jc w:val="center"/>
              <w:rPr>
                <w:rFonts w:cs="Times New Roman"/>
                <w:sz w:val="22"/>
              </w:rPr>
            </w:pPr>
            <w:r w:rsidRPr="00E83322">
              <w:rPr>
                <w:rFonts w:cs="Times New Roman"/>
                <w:sz w:val="22"/>
              </w:rPr>
              <w:t>2022</w:t>
            </w:r>
          </w:p>
        </w:tc>
        <w:tc>
          <w:tcPr>
            <w:tcW w:w="1271" w:type="dxa"/>
            <w:vAlign w:val="center"/>
          </w:tcPr>
          <w:p w14:paraId="42736308" w14:textId="008128D7" w:rsidR="00E83322" w:rsidRPr="00E83322" w:rsidRDefault="00E83322" w:rsidP="00E83322">
            <w:pPr>
              <w:spacing w:line="240" w:lineRule="auto"/>
              <w:jc w:val="center"/>
              <w:rPr>
                <w:rFonts w:cs="Times New Roman"/>
                <w:sz w:val="22"/>
              </w:rPr>
            </w:pPr>
            <w:r w:rsidRPr="00E83322">
              <w:rPr>
                <w:rFonts w:cs="Times New Roman"/>
                <w:sz w:val="22"/>
              </w:rPr>
              <w:t>50</w:t>
            </w:r>
          </w:p>
        </w:tc>
        <w:tc>
          <w:tcPr>
            <w:tcW w:w="900" w:type="dxa"/>
            <w:vAlign w:val="center"/>
          </w:tcPr>
          <w:p w14:paraId="3F0644B2" w14:textId="7AEAAFB7" w:rsidR="00E83322" w:rsidRPr="00E83322" w:rsidRDefault="00E83322" w:rsidP="00E83322">
            <w:pPr>
              <w:spacing w:line="240" w:lineRule="auto"/>
              <w:jc w:val="center"/>
              <w:rPr>
                <w:rFonts w:cs="Times New Roman"/>
                <w:sz w:val="22"/>
              </w:rPr>
            </w:pPr>
            <w:r w:rsidRPr="00E83322">
              <w:rPr>
                <w:rFonts w:cs="Times New Roman"/>
                <w:sz w:val="22"/>
              </w:rPr>
              <w:t>11</w:t>
            </w:r>
          </w:p>
        </w:tc>
        <w:tc>
          <w:tcPr>
            <w:tcW w:w="1207" w:type="dxa"/>
            <w:vAlign w:val="center"/>
          </w:tcPr>
          <w:p w14:paraId="6E8641FE" w14:textId="6E94FC7C" w:rsidR="00E83322" w:rsidRPr="00E83322" w:rsidRDefault="00E83322" w:rsidP="00E83322">
            <w:pPr>
              <w:spacing w:line="240" w:lineRule="auto"/>
              <w:jc w:val="center"/>
              <w:rPr>
                <w:rFonts w:cs="Times New Roman"/>
                <w:sz w:val="22"/>
              </w:rPr>
            </w:pPr>
            <w:r w:rsidRPr="00E83322">
              <w:rPr>
                <w:rFonts w:cs="Times New Roman"/>
                <w:sz w:val="22"/>
              </w:rPr>
              <w:t>N</w:t>
            </w:r>
          </w:p>
        </w:tc>
      </w:tr>
      <w:tr w:rsidR="00E83322" w:rsidRPr="00E83322" w14:paraId="7D2AE35D" w14:textId="77777777" w:rsidTr="00E83322">
        <w:trPr>
          <w:trHeight w:val="341"/>
        </w:trPr>
        <w:tc>
          <w:tcPr>
            <w:tcW w:w="1350" w:type="dxa"/>
            <w:vAlign w:val="center"/>
          </w:tcPr>
          <w:p w14:paraId="7D54D538" w14:textId="53615AE4" w:rsidR="00E83322" w:rsidRPr="00E83322" w:rsidRDefault="00E83322" w:rsidP="00E83322">
            <w:pPr>
              <w:spacing w:line="240" w:lineRule="auto"/>
              <w:jc w:val="center"/>
              <w:rPr>
                <w:rFonts w:cs="Times New Roman"/>
                <w:sz w:val="22"/>
              </w:rPr>
            </w:pPr>
            <w:r w:rsidRPr="00E83322">
              <w:rPr>
                <w:rFonts w:cs="Times New Roman"/>
                <w:sz w:val="22"/>
              </w:rPr>
              <w:t>Sandusky</w:t>
            </w:r>
          </w:p>
        </w:tc>
        <w:tc>
          <w:tcPr>
            <w:tcW w:w="896" w:type="dxa"/>
            <w:vAlign w:val="center"/>
          </w:tcPr>
          <w:p w14:paraId="146FE89B" w14:textId="7514BAD0" w:rsidR="00E83322" w:rsidRPr="00E83322" w:rsidRDefault="00E83322" w:rsidP="00E83322">
            <w:pPr>
              <w:spacing w:line="240" w:lineRule="auto"/>
              <w:jc w:val="center"/>
              <w:rPr>
                <w:rFonts w:cs="Times New Roman"/>
                <w:sz w:val="22"/>
              </w:rPr>
            </w:pPr>
            <w:r w:rsidRPr="00E83322">
              <w:rPr>
                <w:rFonts w:cs="Times New Roman"/>
                <w:color w:val="000000"/>
                <w:sz w:val="22"/>
              </w:rPr>
              <w:t>3239</w:t>
            </w:r>
          </w:p>
        </w:tc>
        <w:tc>
          <w:tcPr>
            <w:tcW w:w="1204" w:type="dxa"/>
            <w:vAlign w:val="center"/>
          </w:tcPr>
          <w:p w14:paraId="0FCD416F" w14:textId="3A0116EF" w:rsidR="00E83322" w:rsidRPr="00E83322" w:rsidRDefault="00E83322" w:rsidP="00E83322">
            <w:pPr>
              <w:spacing w:line="240" w:lineRule="auto"/>
              <w:jc w:val="center"/>
              <w:rPr>
                <w:rFonts w:cs="Times New Roman"/>
                <w:sz w:val="22"/>
              </w:rPr>
            </w:pPr>
            <w:r w:rsidRPr="00E83322">
              <w:rPr>
                <w:rFonts w:cs="Times New Roman"/>
                <w:color w:val="000000"/>
                <w:sz w:val="22"/>
              </w:rPr>
              <w:t>04197100</w:t>
            </w:r>
          </w:p>
        </w:tc>
        <w:tc>
          <w:tcPr>
            <w:tcW w:w="886" w:type="dxa"/>
            <w:vAlign w:val="center"/>
          </w:tcPr>
          <w:p w14:paraId="243B2FB8" w14:textId="608ACDEE" w:rsidR="00E83322" w:rsidRPr="00E83322" w:rsidRDefault="00E83322" w:rsidP="00E83322">
            <w:pPr>
              <w:spacing w:line="240" w:lineRule="auto"/>
              <w:jc w:val="center"/>
              <w:rPr>
                <w:rFonts w:cs="Times New Roman"/>
                <w:sz w:val="22"/>
              </w:rPr>
            </w:pPr>
            <w:r w:rsidRPr="00E83322">
              <w:rPr>
                <w:rFonts w:cs="Times New Roman"/>
                <w:sz w:val="22"/>
              </w:rPr>
              <w:t>2008</w:t>
            </w:r>
          </w:p>
        </w:tc>
        <w:tc>
          <w:tcPr>
            <w:tcW w:w="778" w:type="dxa"/>
            <w:vAlign w:val="center"/>
          </w:tcPr>
          <w:p w14:paraId="0DA25C2C" w14:textId="32305D8F" w:rsidR="00E83322" w:rsidRPr="00E83322" w:rsidRDefault="00E83322" w:rsidP="00E83322">
            <w:pPr>
              <w:spacing w:line="240" w:lineRule="auto"/>
              <w:jc w:val="center"/>
              <w:rPr>
                <w:rFonts w:cs="Times New Roman"/>
                <w:sz w:val="22"/>
              </w:rPr>
            </w:pPr>
            <w:r w:rsidRPr="00E83322">
              <w:rPr>
                <w:rFonts w:cs="Times New Roman"/>
                <w:sz w:val="22"/>
              </w:rPr>
              <w:t>2022</w:t>
            </w:r>
          </w:p>
        </w:tc>
        <w:tc>
          <w:tcPr>
            <w:tcW w:w="1271" w:type="dxa"/>
            <w:vAlign w:val="center"/>
          </w:tcPr>
          <w:p w14:paraId="28B6AB8C" w14:textId="4223D5A6" w:rsidR="00E83322" w:rsidRPr="00E83322" w:rsidRDefault="00E83322" w:rsidP="00E83322">
            <w:pPr>
              <w:spacing w:line="240" w:lineRule="auto"/>
              <w:jc w:val="center"/>
              <w:rPr>
                <w:rFonts w:cs="Times New Roman"/>
                <w:sz w:val="22"/>
              </w:rPr>
            </w:pPr>
            <w:r w:rsidRPr="00E83322">
              <w:rPr>
                <w:rFonts w:cs="Times New Roman"/>
                <w:sz w:val="22"/>
              </w:rPr>
              <w:t>78</w:t>
            </w:r>
          </w:p>
        </w:tc>
        <w:tc>
          <w:tcPr>
            <w:tcW w:w="900" w:type="dxa"/>
            <w:vAlign w:val="center"/>
          </w:tcPr>
          <w:p w14:paraId="640AF1E8" w14:textId="1863FE1D" w:rsidR="00E83322" w:rsidRPr="00E83322" w:rsidRDefault="00E83322" w:rsidP="00E83322">
            <w:pPr>
              <w:spacing w:line="240" w:lineRule="auto"/>
              <w:jc w:val="center"/>
              <w:rPr>
                <w:rFonts w:cs="Times New Roman"/>
                <w:sz w:val="22"/>
              </w:rPr>
            </w:pPr>
            <w:r w:rsidRPr="00E83322">
              <w:rPr>
                <w:rFonts w:cs="Times New Roman"/>
                <w:sz w:val="22"/>
              </w:rPr>
              <w:t>8</w:t>
            </w:r>
          </w:p>
        </w:tc>
        <w:tc>
          <w:tcPr>
            <w:tcW w:w="1207" w:type="dxa"/>
            <w:vAlign w:val="center"/>
          </w:tcPr>
          <w:p w14:paraId="12EF30AC" w14:textId="4CA9249C" w:rsidR="00E83322" w:rsidRPr="00E83322" w:rsidRDefault="00E83322" w:rsidP="00E83322">
            <w:pPr>
              <w:spacing w:line="240" w:lineRule="auto"/>
              <w:jc w:val="center"/>
              <w:rPr>
                <w:rFonts w:cs="Times New Roman"/>
                <w:sz w:val="22"/>
              </w:rPr>
            </w:pPr>
            <w:r w:rsidRPr="00E83322">
              <w:rPr>
                <w:rFonts w:cs="Times New Roman"/>
                <w:sz w:val="22"/>
              </w:rPr>
              <w:t>Y</w:t>
            </w:r>
          </w:p>
        </w:tc>
      </w:tr>
      <w:tr w:rsidR="00E83322" w:rsidRPr="00E83322" w14:paraId="3C257A15" w14:textId="77777777" w:rsidTr="00E83322">
        <w:trPr>
          <w:trHeight w:val="341"/>
        </w:trPr>
        <w:tc>
          <w:tcPr>
            <w:tcW w:w="1350" w:type="dxa"/>
            <w:vAlign w:val="center"/>
          </w:tcPr>
          <w:p w14:paraId="71615F6B" w14:textId="7079FDE1" w:rsidR="00E83322" w:rsidRPr="00E83322" w:rsidRDefault="00E83322" w:rsidP="00E83322">
            <w:pPr>
              <w:spacing w:line="240" w:lineRule="auto"/>
              <w:jc w:val="center"/>
              <w:rPr>
                <w:rFonts w:cs="Times New Roman"/>
                <w:sz w:val="22"/>
              </w:rPr>
            </w:pPr>
            <w:r w:rsidRPr="00E83322">
              <w:rPr>
                <w:rFonts w:cs="Times New Roman"/>
                <w:sz w:val="22"/>
              </w:rPr>
              <w:t>Tiffin</w:t>
            </w:r>
          </w:p>
        </w:tc>
        <w:tc>
          <w:tcPr>
            <w:tcW w:w="896" w:type="dxa"/>
            <w:vAlign w:val="center"/>
          </w:tcPr>
          <w:p w14:paraId="0A582B62" w14:textId="374FB17A" w:rsidR="00E83322" w:rsidRPr="00E83322" w:rsidRDefault="00E83322" w:rsidP="00E83322">
            <w:pPr>
              <w:spacing w:line="240" w:lineRule="auto"/>
              <w:jc w:val="center"/>
              <w:rPr>
                <w:rFonts w:cs="Times New Roman"/>
                <w:sz w:val="22"/>
              </w:rPr>
            </w:pPr>
            <w:r w:rsidRPr="00E83322">
              <w:rPr>
                <w:rFonts w:cs="Times New Roman"/>
                <w:color w:val="000000"/>
                <w:sz w:val="22"/>
              </w:rPr>
              <w:t>1061</w:t>
            </w:r>
          </w:p>
        </w:tc>
        <w:tc>
          <w:tcPr>
            <w:tcW w:w="1204" w:type="dxa"/>
            <w:vAlign w:val="center"/>
          </w:tcPr>
          <w:p w14:paraId="3E82808F" w14:textId="56D99C4D" w:rsidR="00E83322" w:rsidRPr="00E83322" w:rsidRDefault="00E83322" w:rsidP="00E83322">
            <w:pPr>
              <w:spacing w:line="240" w:lineRule="auto"/>
              <w:jc w:val="center"/>
              <w:rPr>
                <w:rFonts w:cs="Times New Roman"/>
                <w:sz w:val="22"/>
              </w:rPr>
            </w:pPr>
            <w:r w:rsidRPr="00E83322">
              <w:rPr>
                <w:rFonts w:cs="Times New Roman"/>
                <w:color w:val="000000"/>
                <w:sz w:val="22"/>
              </w:rPr>
              <w:t>04176500</w:t>
            </w:r>
          </w:p>
        </w:tc>
        <w:tc>
          <w:tcPr>
            <w:tcW w:w="886" w:type="dxa"/>
            <w:vAlign w:val="center"/>
          </w:tcPr>
          <w:p w14:paraId="7384F5B6" w14:textId="480B1055" w:rsidR="00E83322" w:rsidRPr="00E83322" w:rsidRDefault="00E83322" w:rsidP="00E83322">
            <w:pPr>
              <w:spacing w:line="240" w:lineRule="auto"/>
              <w:jc w:val="center"/>
              <w:rPr>
                <w:rFonts w:cs="Times New Roman"/>
                <w:sz w:val="22"/>
              </w:rPr>
            </w:pPr>
            <w:r w:rsidRPr="00E83322">
              <w:rPr>
                <w:rFonts w:cs="Times New Roman"/>
                <w:sz w:val="22"/>
              </w:rPr>
              <w:t>2008</w:t>
            </w:r>
          </w:p>
        </w:tc>
        <w:tc>
          <w:tcPr>
            <w:tcW w:w="778" w:type="dxa"/>
            <w:vAlign w:val="center"/>
          </w:tcPr>
          <w:p w14:paraId="4ED34047" w14:textId="17BB75FF" w:rsidR="00E83322" w:rsidRPr="00E83322" w:rsidRDefault="00E83322" w:rsidP="00E83322">
            <w:pPr>
              <w:spacing w:line="240" w:lineRule="auto"/>
              <w:jc w:val="center"/>
              <w:rPr>
                <w:rFonts w:cs="Times New Roman"/>
                <w:sz w:val="22"/>
              </w:rPr>
            </w:pPr>
            <w:r w:rsidRPr="00E83322">
              <w:rPr>
                <w:rFonts w:cs="Times New Roman"/>
                <w:sz w:val="22"/>
              </w:rPr>
              <w:t>2022</w:t>
            </w:r>
          </w:p>
        </w:tc>
        <w:tc>
          <w:tcPr>
            <w:tcW w:w="1271" w:type="dxa"/>
            <w:vAlign w:val="center"/>
          </w:tcPr>
          <w:p w14:paraId="1955B2B2" w14:textId="603BF24D" w:rsidR="00E83322" w:rsidRPr="00E83322" w:rsidRDefault="00E83322" w:rsidP="00E83322">
            <w:pPr>
              <w:spacing w:line="240" w:lineRule="auto"/>
              <w:jc w:val="center"/>
              <w:rPr>
                <w:rFonts w:cs="Times New Roman"/>
                <w:sz w:val="22"/>
              </w:rPr>
            </w:pPr>
            <w:r w:rsidRPr="00E83322">
              <w:rPr>
                <w:rFonts w:cs="Times New Roman"/>
                <w:sz w:val="22"/>
              </w:rPr>
              <w:t>60</w:t>
            </w:r>
          </w:p>
        </w:tc>
        <w:tc>
          <w:tcPr>
            <w:tcW w:w="900" w:type="dxa"/>
            <w:vAlign w:val="center"/>
          </w:tcPr>
          <w:p w14:paraId="48DCA708" w14:textId="4F18511C" w:rsidR="00E83322" w:rsidRPr="00E83322" w:rsidRDefault="00E83322" w:rsidP="00E83322">
            <w:pPr>
              <w:spacing w:line="240" w:lineRule="auto"/>
              <w:jc w:val="center"/>
              <w:rPr>
                <w:rFonts w:cs="Times New Roman"/>
                <w:sz w:val="22"/>
              </w:rPr>
            </w:pPr>
            <w:r w:rsidRPr="00E83322">
              <w:rPr>
                <w:rFonts w:cs="Times New Roman"/>
                <w:sz w:val="22"/>
              </w:rPr>
              <w:t>8</w:t>
            </w:r>
          </w:p>
        </w:tc>
        <w:tc>
          <w:tcPr>
            <w:tcW w:w="1207" w:type="dxa"/>
            <w:vAlign w:val="center"/>
          </w:tcPr>
          <w:p w14:paraId="5400C229" w14:textId="0FEE5CC0" w:rsidR="00E83322" w:rsidRPr="00E83322" w:rsidRDefault="00E83322" w:rsidP="00E83322">
            <w:pPr>
              <w:spacing w:line="240" w:lineRule="auto"/>
              <w:jc w:val="center"/>
              <w:rPr>
                <w:rFonts w:cs="Times New Roman"/>
                <w:sz w:val="22"/>
              </w:rPr>
            </w:pPr>
            <w:r w:rsidRPr="00E83322">
              <w:rPr>
                <w:rFonts w:cs="Times New Roman"/>
                <w:sz w:val="22"/>
              </w:rPr>
              <w:t>Y</w:t>
            </w:r>
          </w:p>
        </w:tc>
      </w:tr>
    </w:tbl>
    <w:p w14:paraId="37DC06E9" w14:textId="130D976E" w:rsidR="00B40330" w:rsidRDefault="00B40330" w:rsidP="00B40330"/>
    <w:p w14:paraId="5B6227D5" w14:textId="59226F51" w:rsidR="00494CFD" w:rsidRDefault="00DF2E13" w:rsidP="00DF2E13">
      <w:pPr>
        <w:pStyle w:val="Heading2"/>
      </w:pPr>
      <w:r>
        <w:t>Analysis of Concentration and Flux trends</w:t>
      </w:r>
    </w:p>
    <w:p w14:paraId="6C286A8A" w14:textId="7D79FD83" w:rsidR="00670DC4" w:rsidRDefault="00D150A7" w:rsidP="00117C88">
      <w:pPr>
        <w:ind w:firstLine="576"/>
      </w:pPr>
      <w:r w:rsidRPr="00D150A7">
        <w:t xml:space="preserve">Weighted </w:t>
      </w:r>
      <w:r w:rsidR="00FD7DDC">
        <w:t>r</w:t>
      </w:r>
      <w:r w:rsidRPr="00D150A7">
        <w:t xml:space="preserve">egressions on </w:t>
      </w:r>
      <w:r w:rsidR="00FD7DDC">
        <w:t>t</w:t>
      </w:r>
      <w:r w:rsidRPr="00D150A7">
        <w:t xml:space="preserve">ime, </w:t>
      </w:r>
      <w:r w:rsidR="00FD7DDC">
        <w:t>d</w:t>
      </w:r>
      <w:r w:rsidRPr="00D150A7">
        <w:t xml:space="preserve">ischarge, and </w:t>
      </w:r>
      <w:r w:rsidR="00FD7DDC">
        <w:t>s</w:t>
      </w:r>
      <w:r w:rsidRPr="00D150A7">
        <w:t>eason (WRTDS)</w:t>
      </w:r>
      <w:r>
        <w:t xml:space="preserve"> </w:t>
      </w:r>
      <w:r w:rsidR="00E83322">
        <w:t xml:space="preserve">was </w:t>
      </w:r>
      <w:r w:rsidR="00FD7DDC" w:rsidRPr="00FD7DDC">
        <w:t xml:space="preserve">designed to </w:t>
      </w:r>
      <w:r w:rsidR="00FD7DDC">
        <w:t xml:space="preserve">extract </w:t>
      </w:r>
      <w:r w:rsidR="00117C88">
        <w:t xml:space="preserve">the </w:t>
      </w:r>
      <w:r w:rsidR="00FD7DDC">
        <w:t>maximum amount of information from water quality datasets</w:t>
      </w:r>
      <w:r w:rsidR="00117C88">
        <w:t>,</w:t>
      </w:r>
      <w:r w:rsidR="00FD7DDC">
        <w:t xml:space="preserve"> such as those collected by National Water Quality Research Laboratory</w:t>
      </w:r>
      <w:r w:rsidR="00E17E39">
        <w:t xml:space="preserve"> (</w:t>
      </w:r>
      <w:r w:rsidR="00E17E39" w:rsidRPr="001B429D">
        <w:t>Hirsch</w:t>
      </w:r>
      <w:r w:rsidR="00E17E39">
        <w:t xml:space="preserve"> et al., 2010). It is </w:t>
      </w:r>
      <w:r w:rsidR="00FD7DDC" w:rsidRPr="00FD7DDC">
        <w:t xml:space="preserve">a diagnostic tool </w:t>
      </w:r>
      <w:r w:rsidR="00E17E39">
        <w:t xml:space="preserve">useful to identify </w:t>
      </w:r>
      <w:r w:rsidR="00FD7DDC" w:rsidRPr="00FD7DDC">
        <w:t xml:space="preserve">water quality changes </w:t>
      </w:r>
      <w:r w:rsidR="00E17E39">
        <w:t>occuring</w:t>
      </w:r>
      <w:r w:rsidR="00FD7DDC" w:rsidRPr="00FD7DDC">
        <w:t xml:space="preserve"> in </w:t>
      </w:r>
      <w:r w:rsidR="00CD465B">
        <w:t>a</w:t>
      </w:r>
      <w:r w:rsidR="00FD7DDC" w:rsidRPr="00FD7DDC">
        <w:t xml:space="preserve"> watershed related to nonpoint sources pollution</w:t>
      </w:r>
      <w:r w:rsidR="00E17E39" w:rsidRPr="00E17E39">
        <w:t xml:space="preserve"> </w:t>
      </w:r>
      <w:r w:rsidR="00E17E39">
        <w:t>over a period</w:t>
      </w:r>
      <w:r w:rsidR="00FD7DDC" w:rsidRPr="00FD7DDC">
        <w:t xml:space="preserve">. </w:t>
      </w:r>
      <w:r w:rsidR="00E17E39">
        <w:t xml:space="preserve">Thus, the WRTDS was </w:t>
      </w:r>
      <w:r w:rsidR="00E83322">
        <w:t xml:space="preserve">used to </w:t>
      </w:r>
      <w:r w:rsidR="00DF2E13" w:rsidRPr="003C6EFE">
        <w:t>estimate</w:t>
      </w:r>
      <w:r w:rsidR="00CD2E89">
        <w:t xml:space="preserve"> SRP and TP concentration </w:t>
      </w:r>
      <w:r w:rsidR="00670DC4">
        <w:t xml:space="preserve">and flux </w:t>
      </w:r>
      <w:r w:rsidR="00E17E39">
        <w:t>changes over time</w:t>
      </w:r>
      <w:r w:rsidR="001B429D">
        <w:t xml:space="preserve"> </w:t>
      </w:r>
      <w:r w:rsidR="00A651B3">
        <w:t>(2008-2022)</w:t>
      </w:r>
      <w:r w:rsidR="00CD465B">
        <w:t>.</w:t>
      </w:r>
      <w:r w:rsidR="00A649C8">
        <w:t xml:space="preserve"> </w:t>
      </w:r>
      <w:r w:rsidR="009B472D">
        <w:t>The key of this method is that it</w:t>
      </w:r>
      <w:r w:rsidR="002C165A">
        <w:t xml:space="preserve"> </w:t>
      </w:r>
      <w:r w:rsidR="001B429D">
        <w:t>wa</w:t>
      </w:r>
      <w:r w:rsidR="001B429D" w:rsidRPr="00D150A7">
        <w:t xml:space="preserve">s </w:t>
      </w:r>
      <w:r w:rsidR="009C16DB">
        <w:t>designed</w:t>
      </w:r>
      <w:r w:rsidR="001B429D" w:rsidRPr="00D150A7">
        <w:t xml:space="preserve"> </w:t>
      </w:r>
      <w:r w:rsidR="009C16DB" w:rsidRPr="009C16DB">
        <w:t>to provide internally consistent estimates of the actual history of concentrations and fluxes that eliminate the influence of year-to-year variations in streamflow</w:t>
      </w:r>
      <w:r w:rsidR="00527558">
        <w:t xml:space="preserve">. </w:t>
      </w:r>
      <w:r w:rsidR="00093074">
        <w:t>R</w:t>
      </w:r>
      <w:r w:rsidR="00093074" w:rsidRPr="00093074">
        <w:t xml:space="preserve">esults </w:t>
      </w:r>
      <w:r w:rsidR="00093074">
        <w:t xml:space="preserve">produced from this method </w:t>
      </w:r>
      <w:r w:rsidR="00DA0AC9">
        <w:t xml:space="preserve">are </w:t>
      </w:r>
      <w:r w:rsidR="00093074" w:rsidRPr="00093074">
        <w:t xml:space="preserve">useful in further examination of the causes of changes, or lack of changes, and may help inform decisions about future actions to reduce </w:t>
      </w:r>
      <w:r w:rsidR="00DA0AC9">
        <w:t xml:space="preserve">nonpoint source pollution.  </w:t>
      </w:r>
    </w:p>
    <w:p w14:paraId="23FEDCD2" w14:textId="60D57E14" w:rsidR="00E226F8" w:rsidRDefault="00A651B3" w:rsidP="00117C88">
      <w:pPr>
        <w:ind w:firstLine="720"/>
      </w:pPr>
      <w:r>
        <w:t>Because the periods of interest were less than 20 years</w:t>
      </w:r>
      <w:r w:rsidR="00CD465B">
        <w:t xml:space="preserve"> (2008-2022)</w:t>
      </w:r>
      <w:r>
        <w:t>, streamflow was assumed to be stationary for all site</w:t>
      </w:r>
      <w:r w:rsidR="00A042A4">
        <w:t>s</w:t>
      </w:r>
      <w:r>
        <w:t xml:space="preserve"> (the </w:t>
      </w:r>
      <w:proofErr w:type="spellStart"/>
      <w:r>
        <w:t>windowSide</w:t>
      </w:r>
      <w:proofErr w:type="spellEnd"/>
      <w:r>
        <w:t xml:space="preserve"> argument for EGRET was set to 0). </w:t>
      </w:r>
      <w:r w:rsidR="00072255">
        <w:t>Estimates of daily concentration are multiplied by the respective daily mean streamflow to produce an estimate of the daily flux</w:t>
      </w:r>
      <w:r w:rsidR="00CD465B">
        <w:t xml:space="preserve"> (load)</w:t>
      </w:r>
      <w:r w:rsidR="00047F52">
        <w:t xml:space="preserve">. </w:t>
      </w:r>
      <w:r w:rsidR="00E83322">
        <w:t xml:space="preserve">Using these estimates, </w:t>
      </w:r>
      <w:r w:rsidR="00047F52">
        <w:t>f</w:t>
      </w:r>
      <w:r w:rsidR="00DF2E13" w:rsidRPr="003C6EFE">
        <w:t>low normalized (FN) concentrations</w:t>
      </w:r>
      <w:r w:rsidR="00047F52">
        <w:t xml:space="preserve"> and fluxes </w:t>
      </w:r>
      <w:r w:rsidR="00B15190">
        <w:t xml:space="preserve">were </w:t>
      </w:r>
      <w:r w:rsidR="00047F52">
        <w:t>computed</w:t>
      </w:r>
      <w:r w:rsidR="00B15190">
        <w:t xml:space="preserve"> using the EGRET R package</w:t>
      </w:r>
      <w:r w:rsidR="00047F52">
        <w:t>.</w:t>
      </w:r>
      <w:r w:rsidR="00B15190">
        <w:t xml:space="preserve"> FN fluxes were used for trend analysis.</w:t>
      </w:r>
      <w:r w:rsidR="00047F52">
        <w:t xml:space="preserve"> </w:t>
      </w:r>
      <w:r w:rsidR="00706694" w:rsidRPr="003C6EFE">
        <w:t>The smoothing process that allows flow normalization to provide the best method for trend analysis, also means that flow normalization doesn’t provide the most accurate estimates of nutrient concentrations and loads.</w:t>
      </w:r>
      <w:r w:rsidR="00706694">
        <w:t xml:space="preserve">  </w:t>
      </w:r>
      <w:r w:rsidR="00047F52">
        <w:t>Therefore, a</w:t>
      </w:r>
      <w:r w:rsidR="00DF2E13" w:rsidRPr="003C6EFE">
        <w:t xml:space="preserve">n extension of WRTDS (WRTDS-Kalman, or WRTDS-K) was used to fill missing daily values and calculate </w:t>
      </w:r>
      <w:r w:rsidR="00DF2E13">
        <w:t xml:space="preserve">daily </w:t>
      </w:r>
      <w:r w:rsidR="00DF2E13" w:rsidRPr="003C6EFE">
        <w:t xml:space="preserve">estimates of the “actual” nutrient concentrations and loads. The “actual” concentrations and </w:t>
      </w:r>
      <w:r w:rsidR="005E7D1F">
        <w:t>fluxe</w:t>
      </w:r>
      <w:r w:rsidR="00DF2E13" w:rsidRPr="003C6EFE">
        <w:t>s were used to identify extreme events</w:t>
      </w:r>
      <w:r w:rsidR="00047F52">
        <w:t xml:space="preserve"> and </w:t>
      </w:r>
      <w:r w:rsidR="00E226F8">
        <w:t xml:space="preserve">provide the reader with an idea of variability the actual </w:t>
      </w:r>
      <w:r w:rsidR="005E7D1F">
        <w:t>annual flux</w:t>
      </w:r>
      <w:r w:rsidR="00E226F8">
        <w:t xml:space="preserve"> values over the period. </w:t>
      </w:r>
    </w:p>
    <w:p w14:paraId="089A769C" w14:textId="42630ECB" w:rsidR="00F737C3" w:rsidRDefault="0047363D" w:rsidP="00A651B3">
      <w:pPr>
        <w:ind w:firstLine="720"/>
      </w:pPr>
      <w:r>
        <w:t xml:space="preserve">Annual </w:t>
      </w:r>
      <w:r w:rsidR="00D22C5D">
        <w:t>SRP and TP</w:t>
      </w:r>
      <w:r w:rsidR="00D22C5D" w:rsidRPr="003C6EFE">
        <w:t xml:space="preserve"> trends were estimated </w:t>
      </w:r>
      <w:r w:rsidR="007D01A0">
        <w:t xml:space="preserve">for the period from </w:t>
      </w:r>
      <w:r w:rsidR="00D22C5D">
        <w:t>200</w:t>
      </w:r>
      <w:r w:rsidR="00A651B3">
        <w:t>9</w:t>
      </w:r>
      <w:r w:rsidR="00D22C5D" w:rsidRPr="003C6EFE">
        <w:t xml:space="preserve"> to 202</w:t>
      </w:r>
      <w:r w:rsidR="00A651B3">
        <w:t>1</w:t>
      </w:r>
      <w:r w:rsidR="00D22C5D">
        <w:t>.</w:t>
      </w:r>
      <w:r w:rsidR="00F21C60">
        <w:t xml:space="preserve"> </w:t>
      </w:r>
      <w:r w:rsidR="005E7D1F">
        <w:t>For the trend analyses,</w:t>
      </w:r>
      <w:r w:rsidR="00F737C3">
        <w:t xml:space="preserve"> 2009 was chosen as the starting point because it provided a one-year buffer from the starting date at which data was available at all sites (Table 1). This buffer was necessary because WRTDS is a weighted regression on time and end point years can be influenced by past or future data. For the same reason, trends were established up to 2021. The use of 2009 as a starting point also puts the starting point of the analysis near the previously set as the baseline year of 2008 for phosphorus reduction targets in Lake Erie </w:t>
      </w:r>
      <w:r w:rsidR="00F737C3">
        <w:fldChar w:fldCharType="begin"/>
      </w:r>
      <w:r w:rsidR="00F737C3">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F737C3">
        <w:fldChar w:fldCharType="separate"/>
      </w:r>
      <w:r w:rsidR="00F737C3">
        <w:rPr>
          <w:noProof/>
        </w:rPr>
        <w:t>(Annex 4, 2015)</w:t>
      </w:r>
      <w:r w:rsidR="00F737C3">
        <w:fldChar w:fldCharType="end"/>
      </w:r>
      <w:r w:rsidR="00F737C3">
        <w:t>.</w:t>
      </w:r>
    </w:p>
    <w:p w14:paraId="0B13A08D" w14:textId="678D8009" w:rsidR="00F21C60" w:rsidRDefault="005E7D1F" w:rsidP="00F21C60">
      <w:pPr>
        <w:ind w:firstLine="720"/>
      </w:pPr>
      <w:r>
        <w:t xml:space="preserve"> </w:t>
      </w:r>
      <w:r w:rsidR="00A651B3">
        <w:t>D</w:t>
      </w:r>
      <w:r>
        <w:t>aily FN flux estimates were summarized into seasonal and annual fluxes.</w:t>
      </w:r>
      <w:r w:rsidR="00F21C60">
        <w:t xml:space="preserve"> From these </w:t>
      </w:r>
      <w:r w:rsidR="003B11E5">
        <w:t>values</w:t>
      </w:r>
      <w:r w:rsidR="00F21C60">
        <w:t>, the c</w:t>
      </w:r>
      <w:r w:rsidR="00B04CD5">
        <w:t xml:space="preserve">hanges in </w:t>
      </w:r>
      <w:r w:rsidR="00F21C60">
        <w:t xml:space="preserve">FN values over the periods of interest </w:t>
      </w:r>
      <w:r w:rsidR="00B04CD5">
        <w:t>were</w:t>
      </w:r>
      <w:r w:rsidR="00F21C60">
        <w:t xml:space="preserve"> </w:t>
      </w:r>
      <w:r w:rsidR="00B04CD5">
        <w:t>examined</w:t>
      </w:r>
      <w:r w:rsidR="00F21C60">
        <w:t xml:space="preserve"> for each site and pollutant</w:t>
      </w:r>
      <w:r w:rsidR="00B04CD5">
        <w:t xml:space="preserve"> using</w:t>
      </w:r>
      <w:r w:rsidR="00F21C60">
        <w:t xml:space="preserve"> the </w:t>
      </w:r>
      <w:proofErr w:type="spellStart"/>
      <w:r w:rsidR="00F21C60" w:rsidRPr="00C32B3F">
        <w:rPr>
          <w:i/>
          <w:iCs/>
        </w:rPr>
        <w:t>runPair</w:t>
      </w:r>
      <w:r w:rsidR="00C32B3F">
        <w:rPr>
          <w:i/>
          <w:iCs/>
        </w:rPr>
        <w:t>s</w:t>
      </w:r>
      <w:proofErr w:type="spellEnd"/>
      <w:r w:rsidR="00C32B3F">
        <w:t xml:space="preserve"> function in EGRE</w:t>
      </w:r>
      <w:r w:rsidR="0047363D">
        <w:t>T</w:t>
      </w:r>
      <w:r w:rsidR="005D3F20">
        <w:t>, which provides t</w:t>
      </w:r>
      <w:r w:rsidR="00B04CD5">
        <w:t xml:space="preserve">he </w:t>
      </w:r>
      <w:r w:rsidR="00F21C60">
        <w:t xml:space="preserve">net change </w:t>
      </w:r>
      <w:r w:rsidR="005D3F20">
        <w:t xml:space="preserve">in FN value between the start and end years </w:t>
      </w:r>
      <w:r w:rsidR="00F21C60">
        <w:t>and the net change</w:t>
      </w:r>
      <w:r w:rsidR="005D3F20">
        <w:t xml:space="preserve"> in FN value</w:t>
      </w:r>
      <w:r w:rsidR="00F21C60">
        <w:t xml:space="preserve"> as a percenta</w:t>
      </w:r>
      <w:r w:rsidR="005D3F20">
        <w:t>ge</w:t>
      </w:r>
      <w:r w:rsidR="00F21C60">
        <w:t>:</w:t>
      </w:r>
    </w:p>
    <w:p w14:paraId="00467F36" w14:textId="4ECE7E11" w:rsidR="00F21C60" w:rsidRPr="00B04CD5" w:rsidRDefault="00F21C60" w:rsidP="00F21C60">
      <w:pPr>
        <w:ind w:firstLine="720"/>
      </w:pPr>
      <w:r>
        <w:t xml:space="preserve">Net Change =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p>
    <w:p w14:paraId="3672E9DE" w14:textId="77777777" w:rsidR="00F21C60" w:rsidRDefault="00F21C60" w:rsidP="00F21C60">
      <w:pPr>
        <w:ind w:firstLine="720"/>
      </w:pPr>
      <w:r>
        <w:t xml:space="preserve">Net Change as a percentage =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oMath>
    </w:p>
    <w:p w14:paraId="15646DC3" w14:textId="24D12935" w:rsidR="009A5F0C" w:rsidRDefault="00F21C60" w:rsidP="00383FFE">
      <w:pPr>
        <w:rPr>
          <w:rFonts w:eastAsiaTheme="minorEastAsia"/>
        </w:rPr>
      </w:pPr>
      <w:r>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t xml:space="preserve"> is the annual FN concentration in year </w:t>
      </w:r>
      <w:r>
        <w:rPr>
          <w:i/>
          <w:iCs/>
        </w:rPr>
        <w:t>t</w:t>
      </w:r>
      <w:r>
        <w:rPr>
          <w:i/>
          <w:iCs/>
          <w:vertAlign w:val="subscript"/>
        </w:rPr>
        <w:t>1</w:t>
      </w:r>
      <w: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oMath>
      <w:r>
        <w:rPr>
          <w:rFonts w:eastAsiaTheme="minorEastAsia"/>
        </w:rPr>
        <w:t xml:space="preserve">is the annual FN concentration in year </w:t>
      </w:r>
      <w:r>
        <w:rPr>
          <w:rFonts w:eastAsiaTheme="minorEastAsia"/>
          <w:i/>
          <w:iCs/>
        </w:rPr>
        <w:t>t</w:t>
      </w:r>
      <w:r>
        <w:rPr>
          <w:rFonts w:eastAsiaTheme="minorEastAsia"/>
          <w:i/>
          <w:iCs/>
          <w:vertAlign w:val="subscript"/>
        </w:rPr>
        <w:t>2</w:t>
      </w:r>
      <w:r>
        <w:rPr>
          <w:rFonts w:eastAsiaTheme="minorEastAsia"/>
        </w:rPr>
        <w:t xml:space="preserve">. </w:t>
      </w:r>
    </w:p>
    <w:p w14:paraId="5693BDD0" w14:textId="77777777" w:rsidR="0047363D" w:rsidRDefault="00F21C60" w:rsidP="0047363D">
      <w:pPr>
        <w:ind w:firstLine="720"/>
        <w:rPr>
          <w:rFonts w:eastAsiaTheme="minorEastAsia"/>
        </w:rPr>
      </w:pPr>
      <w:r>
        <w:rPr>
          <w:rFonts w:eastAsiaTheme="minorEastAsia"/>
        </w:rPr>
        <w:t xml:space="preserve">The uncertainty associated with </w:t>
      </w:r>
      <w:r w:rsidR="0047363D">
        <w:rPr>
          <w:rFonts w:eastAsiaTheme="minorEastAsia"/>
        </w:rPr>
        <w:t>annual FN trends</w:t>
      </w:r>
      <w:r w:rsidR="009A5F0C">
        <w:rPr>
          <w:rFonts w:eastAsiaTheme="minorEastAsia"/>
        </w:rPr>
        <w:t xml:space="preserve"> was estimated using the </w:t>
      </w:r>
      <w:proofErr w:type="spellStart"/>
      <w:r w:rsidR="009A5F0C">
        <w:rPr>
          <w:rFonts w:eastAsiaTheme="minorEastAsia"/>
        </w:rPr>
        <w:t>EGRETci</w:t>
      </w:r>
      <w:proofErr w:type="spellEnd"/>
      <w:r w:rsidR="009A5F0C">
        <w:rPr>
          <w:rFonts w:eastAsiaTheme="minorEastAsia"/>
        </w:rPr>
        <w:t xml:space="preserve"> package </w:t>
      </w:r>
      <w:r w:rsidR="009A5F0C">
        <w:rPr>
          <w:rFonts w:eastAsiaTheme="minorEastAsia"/>
        </w:rPr>
        <w:fldChar w:fldCharType="begin"/>
      </w:r>
      <w:r w:rsidR="009A5F0C">
        <w:rPr>
          <w:rFonts w:eastAsiaTheme="minorEastAsia"/>
        </w:rPr>
        <w:instrText xml:space="preserve"> ADDIN EN.CITE &lt;EndNote&gt;&lt;Cite&gt;&lt;Author&gt;Hirsch&lt;/Author&gt;&lt;Year&gt;2015&lt;/Year&gt;&lt;RecNum&gt;16958&lt;/RecNum&gt;&lt;DisplayText&gt;(Hirsch, Archfield, &amp;amp; De Cicco, 2015)&lt;/DisplayText&gt;&lt;record&gt;&lt;rec-number&gt;16958&lt;/rec-number&gt;&lt;foreign-keys&gt;&lt;key app="EN" db-id="vxf5p2xpuads9deaf5xvd2ri20s0at2spve5" timestamp="1685547370"&gt;16958&lt;/key&gt;&lt;/foreign-keys&gt;&lt;ref-type name="Journal Article"&gt;17&lt;/ref-type&gt;&lt;contributors&gt;&lt;authors&gt;&lt;author&gt;Hirsch, Robert M.&lt;/author&gt;&lt;author&gt;Archfield, Stacey A.&lt;/author&gt;&lt;author&gt;De Cicco, Laura A.&lt;/author&gt;&lt;/authors&gt;&lt;/contributors&gt;&lt;titles&gt;&lt;title&gt;A bootstrap method for estimating uncertainty of water quality trends&lt;/title&gt;&lt;secondary-title&gt;Environmental Modelling &amp;amp; Software&lt;/secondary-title&gt;&lt;/titles&gt;&lt;periodical&gt;&lt;full-title&gt;Environmental Modelling &amp;amp; Software&lt;/full-title&gt;&lt;/periodical&gt;&lt;pages&gt;148-166&lt;/pages&gt;&lt;volume&gt;73&lt;/volume&gt;&lt;keywords&gt;&lt;keyword&gt;Water quality&lt;/keyword&gt;&lt;keyword&gt;Bootstrap&lt;/keyword&gt;&lt;keyword&gt;Trend&lt;/keyword&gt;&lt;keyword&gt;Uncertainty analysis&lt;/keyword&gt;&lt;/keywords&gt;&lt;dates&gt;&lt;year&gt;2015&lt;/year&gt;&lt;pub-dates&gt;&lt;date&gt;2015/11/01/&lt;/date&gt;&lt;/pub-dates&gt;&lt;/dates&gt;&lt;isbn&gt;1364-8152&lt;/isbn&gt;&lt;urls&gt;&lt;related-urls&gt;&lt;url&gt;https://www.sciencedirect.com/science/article/pii/S1364815215300220&lt;/url&gt;&lt;/related-urls&gt;&lt;/urls&gt;&lt;electronic-resource-num&gt;https://doi.org/10.1016/j.envsoft.2015.07.017&lt;/electronic-resource-num&gt;&lt;/record&gt;&lt;/Cite&gt;&lt;/EndNote&gt;</w:instrText>
      </w:r>
      <w:r w:rsidR="009A5F0C">
        <w:rPr>
          <w:rFonts w:eastAsiaTheme="minorEastAsia"/>
        </w:rPr>
        <w:fldChar w:fldCharType="separate"/>
      </w:r>
      <w:r w:rsidR="009A5F0C">
        <w:rPr>
          <w:rFonts w:eastAsiaTheme="minorEastAsia"/>
          <w:noProof/>
        </w:rPr>
        <w:t>(Hirsch, Archfield, &amp; De Cicco, 2015)</w:t>
      </w:r>
      <w:r w:rsidR="009A5F0C">
        <w:rPr>
          <w:rFonts w:eastAsiaTheme="minorEastAsia"/>
        </w:rPr>
        <w:fldChar w:fldCharType="end"/>
      </w:r>
      <w:r w:rsidR="009A5F0C">
        <w:rPr>
          <w:rFonts w:eastAsiaTheme="minorEastAsia"/>
        </w:rPr>
        <w:t xml:space="preserve">. From this package, a bootstrap method supplied a likelihood statistic for all the estimated FN trends. This method provides 1) an indication of whether the null hypothesis, no trend over the period, should be rejected and 2) a measure of the estimated trend strength as described by a trend descriptor. For example, a trend (upward or downward) with a likelihood statistic between 0.95 and 1.0 would be described as “highly likely”, while a likelihood statistic of less than 0.05 would be described as “highly unlikely”. Further details on trend descriptors can be found in </w:t>
      </w:r>
      <w:r w:rsidR="0047363D">
        <w:rPr>
          <w:rFonts w:eastAsiaTheme="minorEastAsia"/>
        </w:rPr>
        <w:fldChar w:fldCharType="begin"/>
      </w:r>
      <w:r w:rsidR="0047363D">
        <w:rPr>
          <w:rFonts w:eastAsiaTheme="minorEastAsia"/>
        </w:rPr>
        <w:instrText xml:space="preserve"> ADDIN EN.CITE &lt;EndNote&gt;&lt;Cite AuthorYear="1"&gt;&lt;Author&gt;Hicks&lt;/Author&gt;&lt;Year&gt;2023&lt;/Year&gt;&lt;RecNum&gt;16962&lt;/RecNum&gt;&lt;DisplayText&gt;Hicks, Crain, and Segrest (2023)&lt;/DisplayText&gt;&lt;record&gt;&lt;rec-number&gt;16962&lt;/rec-number&gt;&lt;foreign-keys&gt;&lt;key app="EN" db-id="vxf5p2xpuads9deaf5xvd2ri20s0at2spve5" timestamp="1692195275"&gt;16962&lt;/key&gt;&lt;/foreign-keys&gt;&lt;ref-type name="Report"&gt;27&lt;/ref-type&gt;&lt;contributors&gt;&lt;authors&gt;&lt;author&gt;Hicks, Matthew B.&lt;/author&gt;&lt;author&gt;Crain, Angela S.&lt;/author&gt;&lt;author&gt;Segrest, Natalie G.&lt;/author&gt;&lt;/authors&gt;&lt;tertiary-authors&gt;&lt;author&gt;U. S. Geological Survey&lt;/author&gt;&lt;/tertiary-authors&gt;&lt;/contributors&gt;&lt;titles&gt;&lt;title&gt;Status and trends of total nitrogen and total phosphorus concentrations, loads, and yields in streams of Mississippi, water years 2008–18&lt;/title&gt;&lt;secondary-title&gt;Scientific Investigations Report&lt;/secondary-title&gt;&lt;/titles&gt;&lt;pages&gt;92&lt;/pages&gt;&lt;dates&gt;&lt;year&gt;2023&lt;/year&gt;&lt;/dates&gt;&lt;pub-location&gt;Reston, VA&lt;/pub-location&gt;&lt;isbn&gt;2023-5003&lt;/isbn&gt;&lt;work-type&gt;Report&lt;/work-type&gt;&lt;urls&gt;&lt;related-urls&gt;&lt;url&gt;http://pubs.er.usgs.gov/publication/sir20235003&lt;/url&gt;&lt;/related-urls&gt;&lt;/urls&gt;&lt;electronic-resource-num&gt;10.3133/sir20235003&lt;/electronic-resource-num&gt;&lt;remote-database-name&gt;USGS Publications Warehouse&lt;/remote-database-name&gt;&lt;language&gt;English&lt;/language&gt;&lt;/record&gt;&lt;/Cite&gt;&lt;/EndNote&gt;</w:instrText>
      </w:r>
      <w:r w:rsidR="0047363D">
        <w:rPr>
          <w:rFonts w:eastAsiaTheme="minorEastAsia"/>
        </w:rPr>
        <w:fldChar w:fldCharType="separate"/>
      </w:r>
      <w:r w:rsidR="0047363D">
        <w:rPr>
          <w:rFonts w:eastAsiaTheme="minorEastAsia"/>
          <w:noProof/>
        </w:rPr>
        <w:t>Hicks, Crain, and Segrest (2023)</w:t>
      </w:r>
      <w:r w:rsidR="0047363D">
        <w:rPr>
          <w:rFonts w:eastAsiaTheme="minorEastAsia"/>
        </w:rPr>
        <w:fldChar w:fldCharType="end"/>
      </w:r>
      <w:r w:rsidR="0047363D">
        <w:rPr>
          <w:rFonts w:eastAsiaTheme="minorEastAsia"/>
        </w:rPr>
        <w:t xml:space="preserve">. </w:t>
      </w:r>
    </w:p>
    <w:p w14:paraId="5806DD0D" w14:textId="7421769B" w:rsidR="00D22C5D" w:rsidRPr="000C186C" w:rsidRDefault="0047363D" w:rsidP="006D594B">
      <w:pPr>
        <w:ind w:firstLine="720"/>
        <w:rPr>
          <w:rFonts w:eastAsiaTheme="minorEastAsia"/>
        </w:rPr>
      </w:pPr>
      <w:r>
        <w:t>In addition to the trends in annual FN values from 200</w:t>
      </w:r>
      <w:r w:rsidR="00C25BC8">
        <w:t>9</w:t>
      </w:r>
      <w:r>
        <w:t>-202</w:t>
      </w:r>
      <w:r w:rsidR="00C25BC8">
        <w:t>1</w:t>
      </w:r>
      <w:r>
        <w:t xml:space="preserve">, annual SRP and TP trends </w:t>
      </w:r>
      <w:r w:rsidR="006D594B">
        <w:t xml:space="preserve">in fluxes </w:t>
      </w:r>
      <w:r w:rsidR="003B11E5">
        <w:t xml:space="preserve">were </w:t>
      </w:r>
      <w:r>
        <w:t xml:space="preserve">also </w:t>
      </w:r>
      <w:r w:rsidR="001F4D6F">
        <w:t xml:space="preserve">estimated for the </w:t>
      </w:r>
      <w:r w:rsidR="003E477B">
        <w:t>periods of 2009-2015 and</w:t>
      </w:r>
      <w:r w:rsidR="001F4D6F">
        <w:t xml:space="preserve"> 2015-2022</w:t>
      </w:r>
      <w:r w:rsidR="003E477B">
        <w:t xml:space="preserve"> and then compared</w:t>
      </w:r>
      <w:r w:rsidR="001F4D6F">
        <w:t xml:space="preserve">. </w:t>
      </w:r>
      <w:r w:rsidR="000C186C">
        <w:t>Comparing th</w:t>
      </w:r>
      <w:r w:rsidR="003E477B">
        <w:t xml:space="preserve">ese periods </w:t>
      </w:r>
      <w:r w:rsidR="000C186C">
        <w:t xml:space="preserve">has the potential to elucidate the influence of </w:t>
      </w:r>
      <w:r w:rsidR="00C25BC8">
        <w:t xml:space="preserve">nutrient reduction strategies, especially </w:t>
      </w:r>
      <w:r w:rsidR="000C186C">
        <w:t xml:space="preserve">the </w:t>
      </w:r>
      <w:r w:rsidR="003E477B">
        <w:t xml:space="preserve">2015 nutrient management </w:t>
      </w:r>
      <w:r w:rsidR="000C186C">
        <w:t xml:space="preserve">regulations. Because WRTDS does not assume linearity of changes over time, rate of change can be compared between different parts of the record </w:t>
      </w:r>
      <w:r w:rsidR="000C186C">
        <w:fldChar w:fldCharType="begin"/>
      </w:r>
      <w:r w:rsidR="000C186C">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0C186C">
        <w:fldChar w:fldCharType="separate"/>
      </w:r>
      <w:r w:rsidR="000C186C">
        <w:rPr>
          <w:noProof/>
        </w:rPr>
        <w:t>(Sprague et al., 2011)</w:t>
      </w:r>
      <w:r w:rsidR="000C186C">
        <w:fldChar w:fldCharType="end"/>
      </w:r>
      <w:r w:rsidR="000C186C">
        <w:t>.</w:t>
      </w:r>
      <w:r w:rsidR="0061184F">
        <w:t xml:space="preserve"> </w:t>
      </w:r>
      <w:r w:rsidR="000C186C" w:rsidRPr="007D01A0">
        <w:t xml:space="preserve">Seasonal trends were </w:t>
      </w:r>
      <w:r w:rsidR="000C186C">
        <w:t xml:space="preserve">also estimated for both the longer-term and </w:t>
      </w:r>
      <w:r w:rsidR="003E477B">
        <w:t xml:space="preserve">the two short-term </w:t>
      </w:r>
      <w:r w:rsidR="000C186C">
        <w:t xml:space="preserve">periods </w:t>
      </w:r>
      <w:r w:rsidR="000C186C" w:rsidRPr="007D01A0">
        <w:t xml:space="preserve">to </w:t>
      </w:r>
      <w:r w:rsidR="000C186C">
        <w:t>identify</w:t>
      </w:r>
      <w:r w:rsidR="000C186C" w:rsidRPr="007D01A0">
        <w:t xml:space="preserve"> when during the year that changes</w:t>
      </w:r>
      <w:r w:rsidR="000C186C">
        <w:t xml:space="preserve"> in water quality</w:t>
      </w:r>
      <w:r w:rsidR="000C186C" w:rsidRPr="007D01A0">
        <w:t xml:space="preserve"> were occuring. For the seasonal analysis, the WY was split into 4 separate seasons: October – November (Fall), December – February (Winter), March – July (Spring), August – September (Summer; Fall). Spring was set for March 1 through July 31 because spring phosphorus loads have been found to correlate to the intensity of the HAB in the Western Lake Erie basin </w:t>
      </w:r>
      <w:r w:rsidR="000C186C" w:rsidRPr="007D01A0">
        <w:fldChar w:fldCharType="begin"/>
      </w:r>
      <w:r w:rsidR="000C186C" w:rsidRPr="007D01A0">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0C186C" w:rsidRPr="007D01A0">
        <w:fldChar w:fldCharType="separate"/>
      </w:r>
      <w:r w:rsidR="000C186C" w:rsidRPr="007D01A0">
        <w:rPr>
          <w:noProof/>
        </w:rPr>
        <w:t>(Annex 4, 2015)</w:t>
      </w:r>
      <w:r w:rsidR="000C186C" w:rsidRPr="007D01A0">
        <w:fldChar w:fldCharType="end"/>
      </w:r>
      <w:r w:rsidR="000C186C" w:rsidRPr="007D01A0">
        <w:t>.</w:t>
      </w:r>
      <w:r w:rsidR="000C186C">
        <w:t xml:space="preserve"> </w:t>
      </w:r>
    </w:p>
    <w:p w14:paraId="5757C9EB" w14:textId="41262C47" w:rsidR="000C186C" w:rsidRPr="000C186C" w:rsidRDefault="000C186C" w:rsidP="004935D5">
      <w:pPr>
        <w:ind w:firstLine="432"/>
      </w:pPr>
      <w:r w:rsidRPr="003C6EFE">
        <w:t>Model performance evaluations, including a visual assessment of the model fit and the detection of bias in residuals were completed,</w:t>
      </w:r>
      <w:r>
        <w:t xml:space="preserve"> and deemed acceptable.</w:t>
      </w:r>
      <w:r w:rsidRPr="003C6EFE">
        <w:t xml:space="preserve"> All WRTDS models were run at the daily time step and the concentrations and loads were aggregated to seasonal</w:t>
      </w:r>
      <w:r>
        <w:t xml:space="preserve"> </w:t>
      </w:r>
      <w:r w:rsidRPr="003C6EFE">
        <w:t>or annual means.</w:t>
      </w:r>
      <w:r>
        <w:t xml:space="preserve"> The annual FN and Kalman filter flux estimates were converted to common units (kg/km</w:t>
      </w:r>
      <w:r>
        <w:rPr>
          <w:vertAlign w:val="superscript"/>
        </w:rPr>
        <w:t>2</w:t>
      </w:r>
      <w:r>
        <w:t xml:space="preserve">). </w:t>
      </w:r>
      <w:r w:rsidRPr="000C186C">
        <w:t>All analyses were conducted in the R statistical environment</w:t>
      </w:r>
      <w:r w:rsidR="004935D5">
        <w:t xml:space="preserve"> </w:t>
      </w:r>
      <w:r w:rsidR="004935D5">
        <w:fldChar w:fldCharType="begin"/>
      </w:r>
      <w:r w:rsidR="004935D5">
        <w:instrText xml:space="preserve"> ADDIN EN.CITE &lt;EndNote&gt;&lt;Cite&gt;&lt;Author&gt;R Core Team&lt;/Author&gt;&lt;Year&gt;2022&lt;/Year&gt;&lt;RecNum&gt;16865&lt;/RecNum&gt;&lt;DisplayText&gt;(R Core Team, 2022)&lt;/DisplayText&gt;&lt;record&gt;&lt;rec-number&gt;16865&lt;/rec-number&gt;&lt;foreign-keys&gt;&lt;key app="EN" db-id="vxf5p2xpuads9deaf5xvd2ri20s0at2spve5" timestamp="1670346407"&gt;16865&lt;/key&gt;&lt;/foreign-keys&gt;&lt;ref-type name="Computer Program"&gt;9&lt;/ref-type&gt;&lt;contributors&gt;&lt;authors&gt;&lt;author&gt;R Core Team,&lt;/author&gt;&lt;/authors&gt;&lt;/contributors&gt;&lt;titles&gt;&lt;title&gt;R: A Language and Environment for Statistical Computing&lt;/title&gt;&lt;/titles&gt;&lt;edition&gt;4.1.3&lt;/edition&gt;&lt;dates&gt;&lt;year&gt;2022&lt;/year&gt;&lt;/dates&gt;&lt;pub-location&gt;Vienna, Austria&lt;/pub-location&gt;&lt;publisher&gt;R Foundation for Statistical Computing&lt;/publisher&gt;&lt;urls&gt;&lt;related-urls&gt;&lt;url&gt;https://www.R-project.org/&lt;/url&gt;&lt;/related-urls&gt;&lt;/urls&gt;&lt;/record&gt;&lt;/Cite&gt;&lt;/EndNote&gt;</w:instrText>
      </w:r>
      <w:r w:rsidR="004935D5">
        <w:fldChar w:fldCharType="separate"/>
      </w:r>
      <w:r w:rsidR="004935D5">
        <w:rPr>
          <w:noProof/>
        </w:rPr>
        <w:t>(R Core Team, 2022)</w:t>
      </w:r>
      <w:r w:rsidR="004935D5">
        <w:fldChar w:fldCharType="end"/>
      </w:r>
      <w:r w:rsidRPr="000C186C">
        <w:t>.</w:t>
      </w:r>
    </w:p>
    <w:p w14:paraId="0C7C64FC" w14:textId="2A14117B" w:rsidR="00001EA6" w:rsidRDefault="007E31AC" w:rsidP="0085588B">
      <w:pPr>
        <w:pStyle w:val="Heading1"/>
      </w:pPr>
      <w:r>
        <w:t>Results</w:t>
      </w:r>
      <w:r w:rsidR="00450C40">
        <w:t xml:space="preserve"> &amp; Discussion</w:t>
      </w:r>
    </w:p>
    <w:p w14:paraId="15734AAA" w14:textId="43BF4004" w:rsidR="00665B3B" w:rsidRDefault="00D9268F" w:rsidP="001F0266">
      <w:pPr>
        <w:pStyle w:val="Heading2"/>
      </w:pPr>
      <w:r>
        <w:t>Annual c</w:t>
      </w:r>
      <w:r w:rsidR="00665B3B">
        <w:t xml:space="preserve">hanges in </w:t>
      </w:r>
      <w:r w:rsidR="00BB60DF">
        <w:t>P</w:t>
      </w:r>
      <w:r w:rsidR="00665B3B">
        <w:t xml:space="preserve"> </w:t>
      </w:r>
      <w:r w:rsidR="00BB60DF">
        <w:t>in WLEB streams and rivers</w:t>
      </w:r>
      <w:r w:rsidR="00E42991">
        <w:t>, 200</w:t>
      </w:r>
      <w:r w:rsidR="00D0235F">
        <w:t>9</w:t>
      </w:r>
      <w:r w:rsidR="00E42991">
        <w:t>-202</w:t>
      </w:r>
      <w:r w:rsidR="00D0235F">
        <w:t>1</w:t>
      </w:r>
    </w:p>
    <w:p w14:paraId="05A5C1DC" w14:textId="17D94C2B" w:rsidR="008A7740" w:rsidRDefault="00D0235F" w:rsidP="00EE6865">
      <w:pPr>
        <w:ind w:firstLine="720"/>
      </w:pPr>
      <w:r>
        <w:t>Since 2009, three</w:t>
      </w:r>
      <w:r w:rsidR="00134E80">
        <w:t xml:space="preserve"> of the seven sites had a highly likely upward trends</w:t>
      </w:r>
      <w:r>
        <w:t xml:space="preserve"> in mean annual FN concentrations of SRP </w:t>
      </w:r>
      <w:r w:rsidR="00EE6865">
        <w:t xml:space="preserve">with percent changes </w:t>
      </w:r>
      <w:r w:rsidR="00134E80">
        <w:t xml:space="preserve">ranging from </w:t>
      </w:r>
      <w:r>
        <w:t>27</w:t>
      </w:r>
      <w:r w:rsidR="00134E80">
        <w:t>% at Sandusky to 1</w:t>
      </w:r>
      <w:r>
        <w:t>03</w:t>
      </w:r>
      <w:r w:rsidR="00134E80">
        <w:t xml:space="preserve">% at Blanchard (Table </w:t>
      </w:r>
      <w:r w:rsidR="005F0409">
        <w:t>2</w:t>
      </w:r>
      <w:r w:rsidR="00676083">
        <w:t>, Figure 1</w:t>
      </w:r>
      <w:r w:rsidR="00134E80">
        <w:t>).</w:t>
      </w:r>
      <w:r w:rsidR="00AB4E67">
        <w:t xml:space="preserve"> T</w:t>
      </w:r>
      <w:r w:rsidR="00134E80">
        <w:t>he Maumee site had a</w:t>
      </w:r>
      <w:r w:rsidR="00AB4E67">
        <w:t xml:space="preserve"> slight </w:t>
      </w:r>
      <w:r>
        <w:t>negative</w:t>
      </w:r>
      <w:r w:rsidR="00AB4E67">
        <w:t xml:space="preserve"> trend </w:t>
      </w:r>
      <w:r w:rsidR="00EE6865">
        <w:t>with a percent change</w:t>
      </w:r>
      <w:r w:rsidR="00AB4E67">
        <w:t xml:space="preserve"> 0.5%, while the Tiffin and Honey sites each had likely downward trends </w:t>
      </w:r>
      <w:r w:rsidR="00EE6865">
        <w:t>with percent changes of</w:t>
      </w:r>
      <w:r w:rsidR="00AB4E67">
        <w:t xml:space="preserve"> -</w:t>
      </w:r>
      <w:r>
        <w:t>5</w:t>
      </w:r>
      <w:r w:rsidR="00AB4E67">
        <w:t xml:space="preserve"> and -</w:t>
      </w:r>
      <w:r>
        <w:t>9</w:t>
      </w:r>
      <w:r w:rsidR="00AB4E67">
        <w:t xml:space="preserve">%, respectively. </w:t>
      </w:r>
      <w:r w:rsidR="007251AF">
        <w:t xml:space="preserve">For annual FN fluxes of SRP, </w:t>
      </w:r>
      <w:r>
        <w:t xml:space="preserve">three </w:t>
      </w:r>
      <w:r w:rsidR="007251AF">
        <w:t>of the seven sites had very likely to highly likely upward trends</w:t>
      </w:r>
      <w:r w:rsidR="00EE6865">
        <w:t xml:space="preserve"> with percent changes</w:t>
      </w:r>
      <w:r w:rsidR="007251AF">
        <w:t xml:space="preserve"> ranging from 1</w:t>
      </w:r>
      <w:r>
        <w:t>9</w:t>
      </w:r>
      <w:r w:rsidR="007251AF">
        <w:t>% at</w:t>
      </w:r>
      <w:r>
        <w:t xml:space="preserve"> Sandusky</w:t>
      </w:r>
      <w:r w:rsidR="007251AF">
        <w:t xml:space="preserve"> to </w:t>
      </w:r>
      <w:r>
        <w:t>28</w:t>
      </w:r>
      <w:r w:rsidR="007251AF">
        <w:t xml:space="preserve">% at Blanchard (Table </w:t>
      </w:r>
      <w:r w:rsidR="005F0409">
        <w:t>2</w:t>
      </w:r>
      <w:r w:rsidR="007251AF">
        <w:t>).</w:t>
      </w:r>
      <w:r w:rsidR="00E42991">
        <w:t xml:space="preserve"> The Honey and Tiffin sites had upward (</w:t>
      </w:r>
      <w:r>
        <w:t>2</w:t>
      </w:r>
      <w:r w:rsidR="00E42991">
        <w:t>%) and downward (-</w:t>
      </w:r>
      <w:r>
        <w:t>5</w:t>
      </w:r>
      <w:r w:rsidR="00E42991">
        <w:t xml:space="preserve">%) trends, but in both cases an upward trend was as likely as a </w:t>
      </w:r>
      <w:r w:rsidR="00EE6865">
        <w:t xml:space="preserve">downward </w:t>
      </w:r>
      <w:r w:rsidR="00E42991">
        <w:t>trend. Only the Maumee site had a likely downward trend</w:t>
      </w:r>
      <w:r w:rsidR="00EE6865">
        <w:t xml:space="preserve"> with a percent change of </w:t>
      </w:r>
      <w:r w:rsidR="00E42991">
        <w:t>-</w:t>
      </w:r>
      <w:r>
        <w:t>5</w:t>
      </w:r>
      <w:r w:rsidR="00E42991">
        <w:t>%.</w:t>
      </w:r>
    </w:p>
    <w:p w14:paraId="6321A272" w14:textId="7A14F7AF" w:rsidR="0073503F" w:rsidRDefault="0073503F" w:rsidP="005F0409">
      <w:pPr>
        <w:pStyle w:val="Caption"/>
      </w:pPr>
      <w:r>
        <w:t xml:space="preserve">Table </w:t>
      </w:r>
      <w:r w:rsidR="005F0409">
        <w:t>2</w:t>
      </w:r>
      <w:r>
        <w:t>:</w:t>
      </w:r>
      <w:r w:rsidR="005F0409">
        <w:t xml:space="preserve"> SRP trends from 2009 to 2021.</w:t>
      </w:r>
    </w:p>
    <w:tbl>
      <w:tblPr>
        <w:tblStyle w:val="PlainTable2"/>
        <w:tblW w:w="9600" w:type="dxa"/>
        <w:tblLook w:val="04A0" w:firstRow="1" w:lastRow="0" w:firstColumn="1" w:lastColumn="0" w:noHBand="0" w:noVBand="1"/>
      </w:tblPr>
      <w:tblGrid>
        <w:gridCol w:w="1199"/>
        <w:gridCol w:w="1199"/>
        <w:gridCol w:w="1200"/>
        <w:gridCol w:w="1201"/>
        <w:gridCol w:w="1200"/>
        <w:gridCol w:w="1200"/>
        <w:gridCol w:w="1200"/>
        <w:gridCol w:w="1201"/>
      </w:tblGrid>
      <w:tr w:rsidR="004536A7" w:rsidRPr="004536A7" w14:paraId="314978EB" w14:textId="77777777" w:rsidTr="0067608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vMerge w:val="restart"/>
          </w:tcPr>
          <w:p w14:paraId="6F48C6B9" w14:textId="34BFD76C" w:rsidR="004536A7" w:rsidRPr="004536A7" w:rsidRDefault="004536A7" w:rsidP="00676083">
            <w:pPr>
              <w:spacing w:line="240" w:lineRule="auto"/>
              <w:jc w:val="center"/>
              <w:rPr>
                <w:rFonts w:cs="Times New Roman"/>
                <w:sz w:val="16"/>
                <w:szCs w:val="16"/>
              </w:rPr>
            </w:pPr>
            <w:r w:rsidRPr="004536A7">
              <w:rPr>
                <w:rFonts w:cs="Times New Roman"/>
                <w:sz w:val="16"/>
                <w:szCs w:val="16"/>
              </w:rPr>
              <w:t>Site</w:t>
            </w:r>
          </w:p>
        </w:tc>
        <w:tc>
          <w:tcPr>
            <w:tcW w:w="3600" w:type="dxa"/>
            <w:gridSpan w:val="3"/>
          </w:tcPr>
          <w:p w14:paraId="025A3DF1" w14:textId="61B146DE"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Conc</w:t>
            </w:r>
            <w:r>
              <w:rPr>
                <w:rFonts w:cs="Times New Roman"/>
                <w:sz w:val="16"/>
                <w:szCs w:val="16"/>
              </w:rPr>
              <w:t>entration of SRP</w:t>
            </w:r>
          </w:p>
        </w:tc>
        <w:tc>
          <w:tcPr>
            <w:tcW w:w="4801" w:type="dxa"/>
            <w:gridSpan w:val="4"/>
          </w:tcPr>
          <w:p w14:paraId="5ECE741E" w14:textId="5AC12AF8"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Flux</w:t>
            </w:r>
            <w:r>
              <w:rPr>
                <w:rFonts w:cs="Times New Roman"/>
                <w:sz w:val="16"/>
                <w:szCs w:val="16"/>
              </w:rPr>
              <w:t xml:space="preserve"> of SRP</w:t>
            </w:r>
          </w:p>
        </w:tc>
      </w:tr>
      <w:tr w:rsidR="004536A7" w:rsidRPr="004536A7" w14:paraId="3B25B8B7" w14:textId="77777777" w:rsidTr="0067608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6AB096ED" w14:textId="289B486A" w:rsidR="004536A7" w:rsidRPr="004536A7" w:rsidRDefault="004536A7" w:rsidP="00676083">
            <w:pPr>
              <w:spacing w:line="240" w:lineRule="auto"/>
              <w:jc w:val="center"/>
              <w:rPr>
                <w:rFonts w:cs="Times New Roman"/>
                <w:sz w:val="16"/>
                <w:szCs w:val="16"/>
              </w:rPr>
            </w:pPr>
          </w:p>
        </w:tc>
        <w:tc>
          <w:tcPr>
            <w:tcW w:w="1199" w:type="dxa"/>
            <w:vMerge w:val="restart"/>
          </w:tcPr>
          <w:p w14:paraId="139AEDD9" w14:textId="6B4664C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Annual mean in 2009, mg/L</w:t>
            </w:r>
          </w:p>
        </w:tc>
        <w:tc>
          <w:tcPr>
            <w:tcW w:w="2400" w:type="dxa"/>
            <w:gridSpan w:val="2"/>
          </w:tcPr>
          <w:p w14:paraId="4A98482E" w14:textId="7D2FB2DF"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2009 - 2021</w:t>
            </w:r>
          </w:p>
        </w:tc>
        <w:tc>
          <w:tcPr>
            <w:tcW w:w="1200" w:type="dxa"/>
            <w:vMerge w:val="restart"/>
          </w:tcPr>
          <w:p w14:paraId="4F15E7C0" w14:textId="2EA7DC3B"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flux in 2009, metric ton/yr</w:t>
            </w:r>
          </w:p>
        </w:tc>
        <w:tc>
          <w:tcPr>
            <w:tcW w:w="1200" w:type="dxa"/>
            <w:vMerge w:val="restart"/>
          </w:tcPr>
          <w:p w14:paraId="16687ED4" w14:textId="5F90A66D"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yield in 200</w:t>
            </w:r>
            <w:r w:rsidR="006F4FBA">
              <w:rPr>
                <w:rFonts w:cs="Times New Roman"/>
                <w:sz w:val="16"/>
                <w:szCs w:val="16"/>
              </w:rPr>
              <w:t>9</w:t>
            </w:r>
            <w:r w:rsidRPr="004536A7">
              <w:rPr>
                <w:rFonts w:cs="Times New Roman"/>
                <w:sz w:val="16"/>
                <w:szCs w:val="16"/>
              </w:rPr>
              <w:t>, kg/km</w:t>
            </w:r>
            <w:r w:rsidRPr="004536A7">
              <w:rPr>
                <w:rFonts w:cs="Times New Roman"/>
                <w:sz w:val="16"/>
                <w:szCs w:val="16"/>
                <w:vertAlign w:val="superscript"/>
              </w:rPr>
              <w:t>2</w:t>
            </w:r>
            <w:r w:rsidRPr="004536A7">
              <w:rPr>
                <w:rFonts w:cs="Times New Roman"/>
                <w:sz w:val="16"/>
                <w:szCs w:val="16"/>
              </w:rPr>
              <w:t>/yr</w:t>
            </w:r>
          </w:p>
        </w:tc>
        <w:tc>
          <w:tcPr>
            <w:tcW w:w="2400" w:type="dxa"/>
            <w:gridSpan w:val="2"/>
          </w:tcPr>
          <w:p w14:paraId="54B4E799" w14:textId="1CF0A665"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w:t>
            </w:r>
            <w:r>
              <w:rPr>
                <w:rFonts w:cs="Times New Roman"/>
                <w:sz w:val="16"/>
                <w:szCs w:val="16"/>
              </w:rPr>
              <w:t>9</w:t>
            </w:r>
            <w:r w:rsidRPr="004536A7">
              <w:rPr>
                <w:rFonts w:cs="Times New Roman"/>
                <w:sz w:val="16"/>
                <w:szCs w:val="16"/>
              </w:rPr>
              <w:t>-202</w:t>
            </w:r>
            <w:r>
              <w:rPr>
                <w:rFonts w:cs="Times New Roman"/>
                <w:sz w:val="16"/>
                <w:szCs w:val="16"/>
              </w:rPr>
              <w:t>1</w:t>
            </w:r>
          </w:p>
        </w:tc>
      </w:tr>
      <w:tr w:rsidR="004536A7" w:rsidRPr="004536A7" w14:paraId="3D39AB6C" w14:textId="77777777" w:rsidTr="00676083">
        <w:trPr>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312C200B" w14:textId="3651AA9B" w:rsidR="004536A7" w:rsidRPr="004536A7" w:rsidRDefault="004536A7" w:rsidP="00676083">
            <w:pPr>
              <w:spacing w:line="240" w:lineRule="auto"/>
              <w:jc w:val="center"/>
              <w:rPr>
                <w:rFonts w:cs="Times New Roman"/>
                <w:sz w:val="16"/>
                <w:szCs w:val="16"/>
              </w:rPr>
            </w:pPr>
          </w:p>
        </w:tc>
        <w:tc>
          <w:tcPr>
            <w:tcW w:w="1199" w:type="dxa"/>
            <w:vMerge/>
          </w:tcPr>
          <w:p w14:paraId="04D61E7E" w14:textId="2016299C"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255C68BE" w14:textId="38477CF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mg/L</w:t>
            </w:r>
          </w:p>
        </w:tc>
        <w:tc>
          <w:tcPr>
            <w:tcW w:w="1200" w:type="dxa"/>
          </w:tcPr>
          <w:p w14:paraId="652B17DD" w14:textId="6F5B3EF2"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c>
          <w:tcPr>
            <w:tcW w:w="1200" w:type="dxa"/>
            <w:vMerge/>
          </w:tcPr>
          <w:p w14:paraId="413F6721" w14:textId="1D6D18F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vMerge/>
          </w:tcPr>
          <w:p w14:paraId="386441C5" w14:textId="67840267"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793BE1CD" w14:textId="38ECFDF2"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Metric ton</w:t>
            </w:r>
          </w:p>
        </w:tc>
        <w:tc>
          <w:tcPr>
            <w:tcW w:w="1200" w:type="dxa"/>
          </w:tcPr>
          <w:p w14:paraId="0952815E" w14:textId="0008E70A"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r>
      <w:tr w:rsidR="004536A7" w:rsidRPr="004536A7" w14:paraId="0606CF3B" w14:textId="77777777" w:rsidTr="0067608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68721185" w14:textId="1E21B389" w:rsidR="004536A7" w:rsidRPr="004536A7" w:rsidRDefault="004536A7" w:rsidP="00676083">
            <w:pPr>
              <w:spacing w:line="240" w:lineRule="auto"/>
              <w:rPr>
                <w:rFonts w:cs="Times New Roman"/>
                <w:sz w:val="16"/>
                <w:szCs w:val="16"/>
              </w:rPr>
            </w:pPr>
            <w:r w:rsidRPr="004536A7">
              <w:rPr>
                <w:rFonts w:cs="Times New Roman"/>
                <w:sz w:val="16"/>
                <w:szCs w:val="16"/>
              </w:rPr>
              <w:t>Maumee</w:t>
            </w:r>
          </w:p>
        </w:tc>
        <w:tc>
          <w:tcPr>
            <w:tcW w:w="1199" w:type="dxa"/>
          </w:tcPr>
          <w:p w14:paraId="7B16F97F" w14:textId="0C8BE1D3"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0.07</w:t>
            </w:r>
          </w:p>
        </w:tc>
        <w:tc>
          <w:tcPr>
            <w:tcW w:w="1200" w:type="dxa"/>
          </w:tcPr>
          <w:p w14:paraId="3B6E89B4" w14:textId="0A901119" w:rsidR="004536A7" w:rsidRPr="004536A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color w:val="000000"/>
                <w:sz w:val="16"/>
                <w:szCs w:val="16"/>
              </w:rPr>
              <w:t>&lt;</w:t>
            </w:r>
            <w:r w:rsidR="004536A7" w:rsidRPr="004536A7">
              <w:rPr>
                <w:rFonts w:cs="Times New Roman"/>
                <w:color w:val="000000"/>
                <w:sz w:val="16"/>
                <w:szCs w:val="16"/>
              </w:rPr>
              <w:t>0.00</w:t>
            </w:r>
            <w:r>
              <w:rPr>
                <w:rFonts w:cs="Times New Roman"/>
                <w:color w:val="000000"/>
                <w:sz w:val="16"/>
                <w:szCs w:val="16"/>
              </w:rPr>
              <w:t>5</w:t>
            </w:r>
          </w:p>
        </w:tc>
        <w:tc>
          <w:tcPr>
            <w:tcW w:w="1200" w:type="dxa"/>
          </w:tcPr>
          <w:p w14:paraId="1AA58EF1" w14:textId="6F8EBB79"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-0.4</w:t>
            </w:r>
          </w:p>
        </w:tc>
        <w:tc>
          <w:tcPr>
            <w:tcW w:w="1200" w:type="dxa"/>
          </w:tcPr>
          <w:p w14:paraId="5C697124" w14:textId="118D71D5"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60</w:t>
            </w:r>
            <w:r w:rsidR="006F4FBA">
              <w:rPr>
                <w:rFonts w:cs="Times New Roman"/>
                <w:color w:val="000000"/>
                <w:sz w:val="16"/>
                <w:szCs w:val="16"/>
              </w:rPr>
              <w:t>2</w:t>
            </w:r>
          </w:p>
        </w:tc>
        <w:tc>
          <w:tcPr>
            <w:tcW w:w="1200" w:type="dxa"/>
          </w:tcPr>
          <w:p w14:paraId="542657C1" w14:textId="19F1D513" w:rsidR="004536A7" w:rsidRPr="004536A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36.7</w:t>
            </w:r>
          </w:p>
        </w:tc>
        <w:tc>
          <w:tcPr>
            <w:tcW w:w="1200" w:type="dxa"/>
          </w:tcPr>
          <w:p w14:paraId="5E01739C" w14:textId="6C37E73A"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-30</w:t>
            </w:r>
          </w:p>
        </w:tc>
        <w:tc>
          <w:tcPr>
            <w:tcW w:w="1200" w:type="dxa"/>
          </w:tcPr>
          <w:p w14:paraId="78BD021B" w14:textId="17990BB2"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D0235F">
              <w:rPr>
                <w:rFonts w:cs="Times New Roman"/>
                <w:color w:val="000000"/>
                <w:sz w:val="16"/>
                <w:szCs w:val="16"/>
              </w:rPr>
              <w:t>5</w:t>
            </w:r>
          </w:p>
        </w:tc>
      </w:tr>
      <w:tr w:rsidR="004536A7" w:rsidRPr="004536A7" w14:paraId="3FB4D636" w14:textId="77777777" w:rsidTr="00676083">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4E48C301" w14:textId="082FE78B" w:rsidR="004536A7" w:rsidRPr="004536A7" w:rsidRDefault="004536A7" w:rsidP="00676083">
            <w:pPr>
              <w:spacing w:line="240" w:lineRule="auto"/>
              <w:rPr>
                <w:rFonts w:cs="Times New Roman"/>
                <w:sz w:val="16"/>
                <w:szCs w:val="16"/>
              </w:rPr>
            </w:pPr>
            <w:r>
              <w:rPr>
                <w:rFonts w:cs="Times New Roman"/>
                <w:sz w:val="16"/>
                <w:szCs w:val="16"/>
              </w:rPr>
              <w:t xml:space="preserve">  </w:t>
            </w:r>
            <w:r w:rsidRPr="004536A7">
              <w:rPr>
                <w:rFonts w:cs="Times New Roman"/>
                <w:sz w:val="16"/>
                <w:szCs w:val="16"/>
              </w:rPr>
              <w:t>Tiffin</w:t>
            </w:r>
          </w:p>
        </w:tc>
        <w:tc>
          <w:tcPr>
            <w:tcW w:w="1199" w:type="dxa"/>
          </w:tcPr>
          <w:p w14:paraId="586DDC85" w14:textId="6D6303B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0.05</w:t>
            </w:r>
          </w:p>
        </w:tc>
        <w:tc>
          <w:tcPr>
            <w:tcW w:w="1200" w:type="dxa"/>
          </w:tcPr>
          <w:p w14:paraId="09B1CE62" w14:textId="78608BFD" w:rsidR="004536A7" w:rsidRPr="004536A7" w:rsidRDefault="006F4FBA"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color w:val="000000"/>
                <w:sz w:val="16"/>
                <w:szCs w:val="16"/>
              </w:rPr>
              <w:t>&lt;</w:t>
            </w:r>
            <w:r w:rsidR="004536A7" w:rsidRPr="004536A7">
              <w:rPr>
                <w:rFonts w:cs="Times New Roman"/>
                <w:color w:val="000000"/>
                <w:sz w:val="16"/>
                <w:szCs w:val="16"/>
              </w:rPr>
              <w:t>0.00</w:t>
            </w:r>
            <w:r>
              <w:rPr>
                <w:rFonts w:cs="Times New Roman"/>
                <w:color w:val="000000"/>
                <w:sz w:val="16"/>
                <w:szCs w:val="16"/>
              </w:rPr>
              <w:t>5</w:t>
            </w:r>
          </w:p>
        </w:tc>
        <w:tc>
          <w:tcPr>
            <w:tcW w:w="1200" w:type="dxa"/>
          </w:tcPr>
          <w:p w14:paraId="054746F1" w14:textId="0D1D6D75"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-5</w:t>
            </w:r>
          </w:p>
        </w:tc>
        <w:tc>
          <w:tcPr>
            <w:tcW w:w="1200" w:type="dxa"/>
          </w:tcPr>
          <w:p w14:paraId="1A794E04" w14:textId="075D173E"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25.4</w:t>
            </w:r>
          </w:p>
        </w:tc>
        <w:tc>
          <w:tcPr>
            <w:tcW w:w="1200" w:type="dxa"/>
          </w:tcPr>
          <w:p w14:paraId="3AB2A75A" w14:textId="20092CDB" w:rsidR="004536A7" w:rsidRPr="004536A7" w:rsidRDefault="006F4FBA"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23.9</w:t>
            </w:r>
          </w:p>
        </w:tc>
        <w:tc>
          <w:tcPr>
            <w:tcW w:w="1200" w:type="dxa"/>
          </w:tcPr>
          <w:p w14:paraId="72CAEE80" w14:textId="3DD3DC07"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w:t>
            </w:r>
          </w:p>
        </w:tc>
        <w:tc>
          <w:tcPr>
            <w:tcW w:w="1200" w:type="dxa"/>
          </w:tcPr>
          <w:p w14:paraId="6E2C974A" w14:textId="6B00E170"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D0235F">
              <w:rPr>
                <w:rFonts w:cs="Times New Roman"/>
                <w:color w:val="000000"/>
                <w:sz w:val="16"/>
                <w:szCs w:val="16"/>
              </w:rPr>
              <w:t>5</w:t>
            </w:r>
          </w:p>
        </w:tc>
      </w:tr>
      <w:tr w:rsidR="004536A7" w:rsidRPr="004536A7" w14:paraId="139F5E5E" w14:textId="77777777" w:rsidTr="0067608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178AB7DA" w14:textId="15C7FE2A" w:rsidR="004536A7" w:rsidRPr="004536A7" w:rsidRDefault="004536A7" w:rsidP="00676083">
            <w:pPr>
              <w:spacing w:line="240" w:lineRule="auto"/>
              <w:rPr>
                <w:rFonts w:cs="Times New Roman"/>
                <w:sz w:val="16"/>
                <w:szCs w:val="16"/>
              </w:rPr>
            </w:pPr>
            <w:r>
              <w:rPr>
                <w:rFonts w:cs="Times New Roman"/>
                <w:sz w:val="16"/>
                <w:szCs w:val="16"/>
              </w:rPr>
              <w:t xml:space="preserve">  </w:t>
            </w:r>
            <w:r w:rsidRPr="004536A7">
              <w:rPr>
                <w:rFonts w:cs="Times New Roman"/>
                <w:sz w:val="16"/>
                <w:szCs w:val="16"/>
              </w:rPr>
              <w:t>Blanchard</w:t>
            </w:r>
          </w:p>
        </w:tc>
        <w:tc>
          <w:tcPr>
            <w:tcW w:w="1199" w:type="dxa"/>
          </w:tcPr>
          <w:p w14:paraId="3FBBDEB1" w14:textId="1DB09DF7"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0.1</w:t>
            </w:r>
            <w:r w:rsidR="006F4FBA">
              <w:rPr>
                <w:rFonts w:cs="Times New Roman"/>
                <w:color w:val="000000"/>
                <w:sz w:val="16"/>
                <w:szCs w:val="16"/>
              </w:rPr>
              <w:t>2</w:t>
            </w:r>
          </w:p>
        </w:tc>
        <w:tc>
          <w:tcPr>
            <w:tcW w:w="1200" w:type="dxa"/>
          </w:tcPr>
          <w:p w14:paraId="255B047E" w14:textId="3667DE35"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0.12</w:t>
            </w:r>
          </w:p>
        </w:tc>
        <w:tc>
          <w:tcPr>
            <w:tcW w:w="1200" w:type="dxa"/>
          </w:tcPr>
          <w:p w14:paraId="2FC82799" w14:textId="730D742E"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103</w:t>
            </w:r>
          </w:p>
        </w:tc>
        <w:tc>
          <w:tcPr>
            <w:tcW w:w="1200" w:type="dxa"/>
          </w:tcPr>
          <w:p w14:paraId="2CA3D98C" w14:textId="195148D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38.7</w:t>
            </w:r>
          </w:p>
        </w:tc>
        <w:tc>
          <w:tcPr>
            <w:tcW w:w="1200" w:type="dxa"/>
          </w:tcPr>
          <w:p w14:paraId="24DD95D8" w14:textId="40394337" w:rsidR="004536A7" w:rsidRPr="004536A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43.2</w:t>
            </w:r>
          </w:p>
        </w:tc>
        <w:tc>
          <w:tcPr>
            <w:tcW w:w="1200" w:type="dxa"/>
          </w:tcPr>
          <w:p w14:paraId="63CA4BF8" w14:textId="03ACBD7B"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11</w:t>
            </w:r>
          </w:p>
        </w:tc>
        <w:tc>
          <w:tcPr>
            <w:tcW w:w="1200" w:type="dxa"/>
          </w:tcPr>
          <w:p w14:paraId="62D15464" w14:textId="69BD8ABA"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28</w:t>
            </w:r>
          </w:p>
        </w:tc>
      </w:tr>
      <w:tr w:rsidR="004536A7" w:rsidRPr="004536A7" w14:paraId="7680FEE7" w14:textId="77777777" w:rsidTr="00676083">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2AD3D2DA" w14:textId="07D6AA2A" w:rsidR="004536A7" w:rsidRPr="004536A7" w:rsidRDefault="004536A7" w:rsidP="00676083">
            <w:pPr>
              <w:spacing w:line="240" w:lineRule="auto"/>
              <w:rPr>
                <w:rFonts w:cs="Times New Roman"/>
                <w:sz w:val="16"/>
                <w:szCs w:val="16"/>
              </w:rPr>
            </w:pPr>
            <w:r w:rsidRPr="004536A7">
              <w:rPr>
                <w:rFonts w:cs="Times New Roman"/>
                <w:sz w:val="16"/>
                <w:szCs w:val="16"/>
              </w:rPr>
              <w:t>Sandusky</w:t>
            </w:r>
          </w:p>
        </w:tc>
        <w:tc>
          <w:tcPr>
            <w:tcW w:w="1199" w:type="dxa"/>
          </w:tcPr>
          <w:p w14:paraId="1B4CB8DC" w14:textId="6BD7702A"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0.05</w:t>
            </w:r>
          </w:p>
        </w:tc>
        <w:tc>
          <w:tcPr>
            <w:tcW w:w="1200" w:type="dxa"/>
          </w:tcPr>
          <w:p w14:paraId="695C8438" w14:textId="49C47B35"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200" w:type="dxa"/>
          </w:tcPr>
          <w:p w14:paraId="1D49504E" w14:textId="4A8202EB"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27</w:t>
            </w:r>
          </w:p>
        </w:tc>
        <w:tc>
          <w:tcPr>
            <w:tcW w:w="1200" w:type="dxa"/>
          </w:tcPr>
          <w:p w14:paraId="209A92C2" w14:textId="5E63429B"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124</w:t>
            </w:r>
          </w:p>
        </w:tc>
        <w:tc>
          <w:tcPr>
            <w:tcW w:w="1200" w:type="dxa"/>
          </w:tcPr>
          <w:p w14:paraId="64FCEED2" w14:textId="6A7899DD" w:rsidR="004536A7" w:rsidRPr="004536A7" w:rsidRDefault="006F4FBA"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38.3</w:t>
            </w:r>
          </w:p>
        </w:tc>
        <w:tc>
          <w:tcPr>
            <w:tcW w:w="1200" w:type="dxa"/>
          </w:tcPr>
          <w:p w14:paraId="5662E007" w14:textId="14EDCF5C"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23</w:t>
            </w:r>
          </w:p>
        </w:tc>
        <w:tc>
          <w:tcPr>
            <w:tcW w:w="1200" w:type="dxa"/>
          </w:tcPr>
          <w:p w14:paraId="2A396268" w14:textId="73B44767"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19</w:t>
            </w:r>
          </w:p>
        </w:tc>
      </w:tr>
      <w:tr w:rsidR="004536A7" w:rsidRPr="004536A7" w14:paraId="701C237A" w14:textId="77777777" w:rsidTr="0067608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4DBFDCED" w14:textId="0788D85E" w:rsidR="004536A7" w:rsidRPr="004536A7" w:rsidRDefault="004536A7" w:rsidP="00676083">
            <w:pPr>
              <w:spacing w:line="240" w:lineRule="auto"/>
              <w:rPr>
                <w:rFonts w:cs="Times New Roman"/>
                <w:sz w:val="16"/>
                <w:szCs w:val="16"/>
              </w:rPr>
            </w:pPr>
            <w:r>
              <w:rPr>
                <w:rFonts w:cs="Times New Roman"/>
                <w:sz w:val="16"/>
                <w:szCs w:val="16"/>
              </w:rPr>
              <w:t xml:space="preserve">  </w:t>
            </w:r>
            <w:r w:rsidRPr="004536A7">
              <w:rPr>
                <w:rFonts w:cs="Times New Roman"/>
                <w:sz w:val="16"/>
                <w:szCs w:val="16"/>
              </w:rPr>
              <w:t>Honey</w:t>
            </w:r>
          </w:p>
        </w:tc>
        <w:tc>
          <w:tcPr>
            <w:tcW w:w="1199" w:type="dxa"/>
          </w:tcPr>
          <w:p w14:paraId="548B576C" w14:textId="42F6E355"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0.08</w:t>
            </w:r>
          </w:p>
        </w:tc>
        <w:tc>
          <w:tcPr>
            <w:tcW w:w="1200" w:type="dxa"/>
          </w:tcPr>
          <w:p w14:paraId="00A5B696" w14:textId="11B785EF"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200" w:type="dxa"/>
          </w:tcPr>
          <w:p w14:paraId="705A3EA1" w14:textId="099882F2"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D0235F">
              <w:rPr>
                <w:rFonts w:cs="Times New Roman"/>
                <w:color w:val="000000"/>
                <w:sz w:val="16"/>
                <w:szCs w:val="16"/>
              </w:rPr>
              <w:t>9</w:t>
            </w:r>
          </w:p>
        </w:tc>
        <w:tc>
          <w:tcPr>
            <w:tcW w:w="1200" w:type="dxa"/>
          </w:tcPr>
          <w:p w14:paraId="512191C9" w14:textId="20FF157E"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21.3</w:t>
            </w:r>
          </w:p>
        </w:tc>
        <w:tc>
          <w:tcPr>
            <w:tcW w:w="1200" w:type="dxa"/>
          </w:tcPr>
          <w:p w14:paraId="0FE2B599" w14:textId="5008BAE7" w:rsidR="004536A7" w:rsidRPr="004536A7"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55.2</w:t>
            </w:r>
          </w:p>
        </w:tc>
        <w:tc>
          <w:tcPr>
            <w:tcW w:w="1200" w:type="dxa"/>
          </w:tcPr>
          <w:p w14:paraId="075D5F70" w14:textId="0238AE54"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1</w:t>
            </w:r>
          </w:p>
        </w:tc>
        <w:tc>
          <w:tcPr>
            <w:tcW w:w="1200" w:type="dxa"/>
          </w:tcPr>
          <w:p w14:paraId="24230FA6" w14:textId="47BFF55A" w:rsidR="004536A7" w:rsidRPr="004536A7" w:rsidRDefault="00D0235F"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w:t>
            </w:r>
          </w:p>
        </w:tc>
      </w:tr>
      <w:tr w:rsidR="004536A7" w:rsidRPr="004536A7" w14:paraId="72A1E469" w14:textId="77777777" w:rsidTr="00676083">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0289E6CD" w14:textId="37437A0D" w:rsidR="004536A7" w:rsidRPr="004536A7" w:rsidRDefault="004536A7" w:rsidP="00676083">
            <w:pPr>
              <w:spacing w:line="240" w:lineRule="auto"/>
              <w:rPr>
                <w:rFonts w:cs="Times New Roman"/>
                <w:sz w:val="16"/>
                <w:szCs w:val="16"/>
              </w:rPr>
            </w:pPr>
            <w:r w:rsidRPr="004536A7">
              <w:rPr>
                <w:rFonts w:cs="Times New Roman"/>
                <w:sz w:val="16"/>
                <w:szCs w:val="16"/>
              </w:rPr>
              <w:t>Raisin</w:t>
            </w:r>
          </w:p>
        </w:tc>
        <w:tc>
          <w:tcPr>
            <w:tcW w:w="1199" w:type="dxa"/>
          </w:tcPr>
          <w:p w14:paraId="7F67F41A" w14:textId="147C1943"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0.02</w:t>
            </w:r>
          </w:p>
        </w:tc>
        <w:tc>
          <w:tcPr>
            <w:tcW w:w="1200" w:type="dxa"/>
          </w:tcPr>
          <w:p w14:paraId="520C7B0A" w14:textId="4899E7F5"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200" w:type="dxa"/>
          </w:tcPr>
          <w:p w14:paraId="43D90746" w14:textId="01149700" w:rsidR="004536A7" w:rsidRPr="004536A7" w:rsidRDefault="00D0235F"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60</w:t>
            </w:r>
          </w:p>
        </w:tc>
        <w:tc>
          <w:tcPr>
            <w:tcW w:w="1200" w:type="dxa"/>
          </w:tcPr>
          <w:p w14:paraId="77F8DDB2" w14:textId="74E84CC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29.8</w:t>
            </w:r>
          </w:p>
        </w:tc>
        <w:tc>
          <w:tcPr>
            <w:tcW w:w="1200" w:type="dxa"/>
          </w:tcPr>
          <w:p w14:paraId="215DEAA1" w14:textId="5281B381" w:rsidR="004536A7" w:rsidRPr="004536A7" w:rsidRDefault="006F4FBA"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11.0</w:t>
            </w:r>
          </w:p>
        </w:tc>
        <w:tc>
          <w:tcPr>
            <w:tcW w:w="1200" w:type="dxa"/>
          </w:tcPr>
          <w:p w14:paraId="2AFEEACC" w14:textId="53847EF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6</w:t>
            </w:r>
          </w:p>
        </w:tc>
        <w:tc>
          <w:tcPr>
            <w:tcW w:w="1200" w:type="dxa"/>
          </w:tcPr>
          <w:p w14:paraId="10825274" w14:textId="2E2F55C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w:t>
            </w:r>
            <w:r w:rsidR="00D0235F">
              <w:rPr>
                <w:rFonts w:cs="Times New Roman"/>
                <w:color w:val="000000"/>
                <w:sz w:val="16"/>
                <w:szCs w:val="16"/>
              </w:rPr>
              <w:t>1</w:t>
            </w:r>
          </w:p>
        </w:tc>
      </w:tr>
    </w:tbl>
    <w:p w14:paraId="4B87CDEE" w14:textId="77777777" w:rsidR="00676083" w:rsidRDefault="00676083" w:rsidP="00676083">
      <w:pPr>
        <w:spacing w:line="240" w:lineRule="auto"/>
        <w:jc w:val="center"/>
      </w:pPr>
    </w:p>
    <w:p w14:paraId="512E8489" w14:textId="25C39D0D" w:rsidR="00676083" w:rsidRDefault="00AD19B7" w:rsidP="00676083">
      <w:pPr>
        <w:spacing w:line="240" w:lineRule="auto"/>
        <w:jc w:val="center"/>
      </w:pPr>
      <w:r>
        <w:rPr>
          <w:noProof/>
        </w:rPr>
        <w:drawing>
          <wp:inline distT="0" distB="0" distL="0" distR="0" wp14:anchorId="765D1ACB" wp14:editId="44A62333">
            <wp:extent cx="4343400" cy="484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846320"/>
                    </a:xfrm>
                    <a:prstGeom prst="rect">
                      <a:avLst/>
                    </a:prstGeom>
                    <a:noFill/>
                  </pic:spPr>
                </pic:pic>
              </a:graphicData>
            </a:graphic>
          </wp:inline>
        </w:drawing>
      </w:r>
    </w:p>
    <w:p w14:paraId="2BC9AFD2" w14:textId="5731577A" w:rsidR="00676083" w:rsidRPr="0085588B" w:rsidRDefault="00676083" w:rsidP="00676083">
      <w:pPr>
        <w:pStyle w:val="Caption"/>
      </w:pPr>
      <w:r>
        <w:t>Figure 1: Annual SRP load (kg/km</w:t>
      </w:r>
      <w:r>
        <w:rPr>
          <w:vertAlign w:val="superscript"/>
        </w:rPr>
        <w:t>2</w:t>
      </w:r>
      <w:r>
        <w:t>) for the entire period of interest (200</w:t>
      </w:r>
      <w:r w:rsidR="002D25E0">
        <w:t>9</w:t>
      </w:r>
      <w:r>
        <w:t>-202</w:t>
      </w:r>
      <w:r w:rsidR="002D25E0">
        <w:t>1</w:t>
      </w:r>
      <w:r>
        <w:t>) across all sites. The gray bars in panels are the WRTDS Kalman Filter results. Red line shows the WRTDS flow normalized results. The Blue line shows the 5 year moving average of “actual” annual SRP loads.</w:t>
      </w:r>
    </w:p>
    <w:p w14:paraId="15BB9402" w14:textId="77777777" w:rsidR="00676083" w:rsidRDefault="00676083" w:rsidP="00676083"/>
    <w:p w14:paraId="3DFA4E38" w14:textId="6B93A700" w:rsidR="00AD19B7" w:rsidRDefault="005F0409" w:rsidP="00AD19B7">
      <w:pPr>
        <w:ind w:firstLine="720"/>
      </w:pPr>
      <w:r>
        <w:t>When examining TP trends, mean annual FN concentrations of TP had likely or highly likely upward trends at all seven sites with percent changes ranging from 6% at the Maumee site to 52% at the Blanchard site (Table 3</w:t>
      </w:r>
      <w:r w:rsidR="00676083">
        <w:t>, Figure 2</w:t>
      </w:r>
      <w:r>
        <w:t xml:space="preserve">). Similarly, for annual FN TP fluxes, all seven of the sites had either very likely or highly likely upward trends. Across the seven sites, percent changes ranged from 9% at Maumee to </w:t>
      </w:r>
      <w:r w:rsidR="005C2ADE">
        <w:t>36</w:t>
      </w:r>
      <w:r>
        <w:t xml:space="preserve">% at Raisin (Table 3 &amp; S4). </w:t>
      </w:r>
    </w:p>
    <w:p w14:paraId="2D0E41F2" w14:textId="77777777" w:rsidR="00AD19B7" w:rsidRDefault="00AD19B7" w:rsidP="005F0409">
      <w:pPr>
        <w:pStyle w:val="Caption"/>
      </w:pPr>
    </w:p>
    <w:p w14:paraId="07A19E6C" w14:textId="754D2EED" w:rsidR="00147BB0" w:rsidRDefault="00147BB0" w:rsidP="005F0409">
      <w:pPr>
        <w:pStyle w:val="Caption"/>
      </w:pPr>
      <w:r>
        <w:t xml:space="preserve">Table </w:t>
      </w:r>
      <w:r w:rsidR="005F0409">
        <w:t>3</w:t>
      </w:r>
      <w:r>
        <w:t>:</w:t>
      </w:r>
      <w:r w:rsidR="005F0409">
        <w:t xml:space="preserve"> TP trends from 2009 to 2021.</w:t>
      </w:r>
    </w:p>
    <w:tbl>
      <w:tblPr>
        <w:tblStyle w:val="PlainTable2"/>
        <w:tblW w:w="0" w:type="auto"/>
        <w:jc w:val="center"/>
        <w:tblLook w:val="04A0" w:firstRow="1" w:lastRow="0" w:firstColumn="1" w:lastColumn="0" w:noHBand="0" w:noVBand="1"/>
      </w:tblPr>
      <w:tblGrid>
        <w:gridCol w:w="1068"/>
        <w:gridCol w:w="1068"/>
        <w:gridCol w:w="1069"/>
        <w:gridCol w:w="1069"/>
        <w:gridCol w:w="1069"/>
        <w:gridCol w:w="1188"/>
        <w:gridCol w:w="949"/>
        <w:gridCol w:w="1070"/>
      </w:tblGrid>
      <w:tr w:rsidR="00147BB0" w:rsidRPr="00E84107" w14:paraId="32C67D38" w14:textId="77777777" w:rsidTr="00676083">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Merge w:val="restart"/>
            <w:vAlign w:val="center"/>
          </w:tcPr>
          <w:p w14:paraId="5E474509" w14:textId="77777777" w:rsidR="00147BB0" w:rsidRPr="00E84107" w:rsidRDefault="00147BB0" w:rsidP="00676083">
            <w:pPr>
              <w:spacing w:line="240" w:lineRule="auto"/>
              <w:jc w:val="center"/>
              <w:rPr>
                <w:rFonts w:cs="Times New Roman"/>
                <w:sz w:val="16"/>
                <w:szCs w:val="16"/>
              </w:rPr>
            </w:pPr>
            <w:r w:rsidRPr="00E84107">
              <w:rPr>
                <w:rFonts w:cs="Times New Roman"/>
                <w:sz w:val="16"/>
                <w:szCs w:val="16"/>
              </w:rPr>
              <w:t>Site</w:t>
            </w:r>
          </w:p>
        </w:tc>
        <w:tc>
          <w:tcPr>
            <w:tcW w:w="3206" w:type="dxa"/>
            <w:gridSpan w:val="3"/>
            <w:vAlign w:val="center"/>
          </w:tcPr>
          <w:p w14:paraId="6F306620" w14:textId="66B8D2E9"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Concentration of TP</w:t>
            </w:r>
          </w:p>
        </w:tc>
        <w:tc>
          <w:tcPr>
            <w:tcW w:w="4276" w:type="dxa"/>
            <w:gridSpan w:val="4"/>
            <w:vAlign w:val="center"/>
          </w:tcPr>
          <w:p w14:paraId="2ECABD22" w14:textId="1DA434B6"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Flux of TP</w:t>
            </w:r>
          </w:p>
        </w:tc>
      </w:tr>
      <w:tr w:rsidR="00147BB0" w:rsidRPr="00E84107" w14:paraId="7720D62E" w14:textId="77777777" w:rsidTr="00676083">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03BEAC35" w14:textId="77777777" w:rsidR="00147BB0" w:rsidRPr="00E84107" w:rsidRDefault="00147BB0" w:rsidP="00676083">
            <w:pPr>
              <w:spacing w:line="240" w:lineRule="auto"/>
              <w:jc w:val="center"/>
              <w:rPr>
                <w:rFonts w:cs="Times New Roman"/>
                <w:sz w:val="16"/>
                <w:szCs w:val="16"/>
              </w:rPr>
            </w:pPr>
          </w:p>
        </w:tc>
        <w:tc>
          <w:tcPr>
            <w:tcW w:w="1068" w:type="dxa"/>
            <w:vMerge w:val="restart"/>
            <w:vAlign w:val="center"/>
          </w:tcPr>
          <w:p w14:paraId="44E11F15"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Annual mean in 2009, mg/L</w:t>
            </w:r>
          </w:p>
        </w:tc>
        <w:tc>
          <w:tcPr>
            <w:tcW w:w="2138" w:type="dxa"/>
            <w:gridSpan w:val="2"/>
            <w:vAlign w:val="center"/>
          </w:tcPr>
          <w:p w14:paraId="0B723A74"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2009 - 2021</w:t>
            </w:r>
          </w:p>
        </w:tc>
        <w:tc>
          <w:tcPr>
            <w:tcW w:w="1069" w:type="dxa"/>
            <w:vMerge w:val="restart"/>
            <w:vAlign w:val="center"/>
          </w:tcPr>
          <w:p w14:paraId="3839351B"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flux in 2009, metric ton/yr</w:t>
            </w:r>
          </w:p>
        </w:tc>
        <w:tc>
          <w:tcPr>
            <w:tcW w:w="1188" w:type="dxa"/>
            <w:vMerge w:val="restart"/>
            <w:vAlign w:val="center"/>
          </w:tcPr>
          <w:p w14:paraId="05B712CC"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yield in 2009, kg/km</w:t>
            </w:r>
            <w:r w:rsidRPr="00E84107">
              <w:rPr>
                <w:rFonts w:cs="Times New Roman"/>
                <w:sz w:val="16"/>
                <w:szCs w:val="16"/>
                <w:vertAlign w:val="superscript"/>
              </w:rPr>
              <w:t>2</w:t>
            </w:r>
            <w:r w:rsidRPr="00E84107">
              <w:rPr>
                <w:rFonts w:cs="Times New Roman"/>
                <w:sz w:val="16"/>
                <w:szCs w:val="16"/>
              </w:rPr>
              <w:t>/yr</w:t>
            </w:r>
          </w:p>
        </w:tc>
        <w:tc>
          <w:tcPr>
            <w:tcW w:w="2018" w:type="dxa"/>
            <w:gridSpan w:val="2"/>
            <w:vAlign w:val="center"/>
          </w:tcPr>
          <w:p w14:paraId="5B58C23F" w14:textId="77777777"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2009-2021</w:t>
            </w:r>
          </w:p>
        </w:tc>
      </w:tr>
      <w:tr w:rsidR="00147BB0" w:rsidRPr="00E84107" w14:paraId="25879B44" w14:textId="77777777" w:rsidTr="00676083">
        <w:trPr>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41C5A71C" w14:textId="77777777" w:rsidR="00147BB0" w:rsidRPr="00E84107" w:rsidRDefault="00147BB0" w:rsidP="00676083">
            <w:pPr>
              <w:spacing w:line="240" w:lineRule="auto"/>
              <w:jc w:val="center"/>
              <w:rPr>
                <w:rFonts w:cs="Times New Roman"/>
                <w:sz w:val="16"/>
                <w:szCs w:val="16"/>
              </w:rPr>
            </w:pPr>
          </w:p>
        </w:tc>
        <w:tc>
          <w:tcPr>
            <w:tcW w:w="1068" w:type="dxa"/>
            <w:vMerge/>
            <w:vAlign w:val="center"/>
          </w:tcPr>
          <w:p w14:paraId="56A8B583"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69" w:type="dxa"/>
            <w:vAlign w:val="center"/>
          </w:tcPr>
          <w:p w14:paraId="2148425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mg/L</w:t>
            </w:r>
          </w:p>
        </w:tc>
        <w:tc>
          <w:tcPr>
            <w:tcW w:w="1069" w:type="dxa"/>
            <w:vAlign w:val="center"/>
          </w:tcPr>
          <w:p w14:paraId="6C262F6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c>
          <w:tcPr>
            <w:tcW w:w="1069" w:type="dxa"/>
            <w:vMerge/>
            <w:vAlign w:val="center"/>
          </w:tcPr>
          <w:p w14:paraId="0FF5E29B"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88" w:type="dxa"/>
            <w:vMerge/>
            <w:vAlign w:val="center"/>
          </w:tcPr>
          <w:p w14:paraId="670319C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49" w:type="dxa"/>
            <w:vAlign w:val="center"/>
          </w:tcPr>
          <w:p w14:paraId="7D005CA6" w14:textId="38F0E6F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Metric ton</w:t>
            </w:r>
          </w:p>
        </w:tc>
        <w:tc>
          <w:tcPr>
            <w:tcW w:w="1069" w:type="dxa"/>
            <w:vAlign w:val="center"/>
          </w:tcPr>
          <w:p w14:paraId="11EF547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r>
      <w:tr w:rsidR="00E84107" w:rsidRPr="00E84107" w14:paraId="05FE232E" w14:textId="77777777" w:rsidTr="00676083">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5E5C5139" w14:textId="77777777" w:rsidR="00E84107" w:rsidRPr="00E84107" w:rsidRDefault="00E84107" w:rsidP="00676083">
            <w:pPr>
              <w:spacing w:line="240" w:lineRule="auto"/>
              <w:rPr>
                <w:rFonts w:cs="Times New Roman"/>
                <w:sz w:val="16"/>
                <w:szCs w:val="16"/>
              </w:rPr>
            </w:pPr>
            <w:bookmarkStart w:id="1" w:name="_Hlk146803553"/>
            <w:r w:rsidRPr="00E84107">
              <w:rPr>
                <w:rFonts w:cs="Times New Roman"/>
                <w:sz w:val="16"/>
                <w:szCs w:val="16"/>
              </w:rPr>
              <w:t>Maumee</w:t>
            </w:r>
          </w:p>
        </w:tc>
        <w:tc>
          <w:tcPr>
            <w:tcW w:w="1068" w:type="dxa"/>
            <w:vAlign w:val="center"/>
          </w:tcPr>
          <w:p w14:paraId="16A4E987" w14:textId="47DD28C2"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0.23</w:t>
            </w:r>
          </w:p>
        </w:tc>
        <w:tc>
          <w:tcPr>
            <w:tcW w:w="1069" w:type="dxa"/>
            <w:vAlign w:val="center"/>
          </w:tcPr>
          <w:p w14:paraId="4F9F9025" w14:textId="29CB68B1"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69" w:type="dxa"/>
            <w:vAlign w:val="center"/>
          </w:tcPr>
          <w:p w14:paraId="3769CCCF" w14:textId="093A2B82"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69" w:type="dxa"/>
            <w:vAlign w:val="center"/>
          </w:tcPr>
          <w:p w14:paraId="70E2F438" w14:textId="4318C087"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2390</w:t>
            </w:r>
          </w:p>
        </w:tc>
        <w:tc>
          <w:tcPr>
            <w:tcW w:w="1188" w:type="dxa"/>
            <w:vAlign w:val="center"/>
          </w:tcPr>
          <w:p w14:paraId="4DBFEC13" w14:textId="697A86E4"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145</w:t>
            </w:r>
          </w:p>
        </w:tc>
        <w:tc>
          <w:tcPr>
            <w:tcW w:w="949" w:type="dxa"/>
            <w:vAlign w:val="center"/>
          </w:tcPr>
          <w:p w14:paraId="56D065C0" w14:textId="41E18B07"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300</w:t>
            </w:r>
          </w:p>
        </w:tc>
        <w:tc>
          <w:tcPr>
            <w:tcW w:w="1069" w:type="dxa"/>
            <w:vAlign w:val="center"/>
          </w:tcPr>
          <w:p w14:paraId="13DC5038" w14:textId="0F6481AE"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9</w:t>
            </w:r>
          </w:p>
        </w:tc>
      </w:tr>
      <w:tr w:rsidR="00E84107" w:rsidRPr="00E84107" w14:paraId="6E44ED6C" w14:textId="77777777" w:rsidTr="00676083">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01983CFC" w14:textId="3DBF0859" w:rsidR="00E84107" w:rsidRPr="00E84107" w:rsidRDefault="00F55E79" w:rsidP="00676083">
            <w:pPr>
              <w:spacing w:line="240" w:lineRule="auto"/>
              <w:rPr>
                <w:rFonts w:cs="Times New Roman"/>
                <w:sz w:val="16"/>
                <w:szCs w:val="16"/>
              </w:rPr>
            </w:pPr>
            <w:r>
              <w:rPr>
                <w:rFonts w:cs="Times New Roman"/>
                <w:sz w:val="16"/>
                <w:szCs w:val="16"/>
              </w:rPr>
              <w:t xml:space="preserve">   </w:t>
            </w:r>
            <w:r w:rsidR="00E84107" w:rsidRPr="00E84107">
              <w:rPr>
                <w:rFonts w:cs="Times New Roman"/>
                <w:sz w:val="16"/>
                <w:szCs w:val="16"/>
              </w:rPr>
              <w:t>Tiffin</w:t>
            </w:r>
          </w:p>
        </w:tc>
        <w:tc>
          <w:tcPr>
            <w:tcW w:w="1068" w:type="dxa"/>
            <w:vAlign w:val="center"/>
          </w:tcPr>
          <w:p w14:paraId="48683589" w14:textId="3D6B5A64"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0.16</w:t>
            </w:r>
          </w:p>
        </w:tc>
        <w:tc>
          <w:tcPr>
            <w:tcW w:w="1069" w:type="dxa"/>
            <w:vAlign w:val="center"/>
          </w:tcPr>
          <w:p w14:paraId="60DAA621" w14:textId="6228C0C3"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69" w:type="dxa"/>
            <w:vAlign w:val="center"/>
          </w:tcPr>
          <w:p w14:paraId="3F2431BB" w14:textId="02C0DC70"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69" w:type="dxa"/>
            <w:vAlign w:val="center"/>
          </w:tcPr>
          <w:p w14:paraId="6A94A26E" w14:textId="1470873B"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82.4</w:t>
            </w:r>
          </w:p>
        </w:tc>
        <w:tc>
          <w:tcPr>
            <w:tcW w:w="1188" w:type="dxa"/>
            <w:vAlign w:val="center"/>
          </w:tcPr>
          <w:p w14:paraId="63284B72" w14:textId="4A683B06"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78</w:t>
            </w:r>
          </w:p>
        </w:tc>
        <w:tc>
          <w:tcPr>
            <w:tcW w:w="949" w:type="dxa"/>
            <w:vAlign w:val="center"/>
          </w:tcPr>
          <w:p w14:paraId="1BE34D6D" w14:textId="4790C3A8" w:rsidR="00E84107" w:rsidRPr="00E84107" w:rsidRDefault="005C2ADE"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16</w:t>
            </w:r>
          </w:p>
        </w:tc>
        <w:tc>
          <w:tcPr>
            <w:tcW w:w="1069" w:type="dxa"/>
            <w:vAlign w:val="center"/>
          </w:tcPr>
          <w:p w14:paraId="7A1E0F7B" w14:textId="4564FEF7"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w:t>
            </w:r>
            <w:r w:rsidR="005C2ADE">
              <w:rPr>
                <w:rFonts w:cs="Times New Roman"/>
                <w:color w:val="000000"/>
                <w:sz w:val="16"/>
                <w:szCs w:val="16"/>
              </w:rPr>
              <w:t>6</w:t>
            </w:r>
          </w:p>
        </w:tc>
      </w:tr>
      <w:tr w:rsidR="00E84107" w:rsidRPr="00E84107" w14:paraId="0B8607EB" w14:textId="77777777" w:rsidTr="00676083">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65553F4B" w14:textId="7E28FECA" w:rsidR="00E84107" w:rsidRPr="00E84107" w:rsidRDefault="00F55E79" w:rsidP="00676083">
            <w:pPr>
              <w:spacing w:line="240" w:lineRule="auto"/>
              <w:rPr>
                <w:rFonts w:cs="Times New Roman"/>
                <w:sz w:val="16"/>
                <w:szCs w:val="16"/>
              </w:rPr>
            </w:pPr>
            <w:r>
              <w:rPr>
                <w:rFonts w:cs="Times New Roman"/>
                <w:sz w:val="16"/>
                <w:szCs w:val="16"/>
              </w:rPr>
              <w:t xml:space="preserve">   </w:t>
            </w:r>
            <w:r w:rsidR="00E84107" w:rsidRPr="00E84107">
              <w:rPr>
                <w:rFonts w:cs="Times New Roman"/>
                <w:sz w:val="16"/>
                <w:szCs w:val="16"/>
              </w:rPr>
              <w:t>Blanchard</w:t>
            </w:r>
          </w:p>
        </w:tc>
        <w:tc>
          <w:tcPr>
            <w:tcW w:w="1068" w:type="dxa"/>
            <w:vAlign w:val="center"/>
          </w:tcPr>
          <w:p w14:paraId="126A1237" w14:textId="370BA728"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0.25</w:t>
            </w:r>
          </w:p>
        </w:tc>
        <w:tc>
          <w:tcPr>
            <w:tcW w:w="1069" w:type="dxa"/>
            <w:vAlign w:val="center"/>
          </w:tcPr>
          <w:p w14:paraId="0A498606" w14:textId="213E9ED9"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0.13</w:t>
            </w:r>
          </w:p>
        </w:tc>
        <w:tc>
          <w:tcPr>
            <w:tcW w:w="1069" w:type="dxa"/>
            <w:vAlign w:val="center"/>
          </w:tcPr>
          <w:p w14:paraId="41A756F1" w14:textId="03075C16"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52</w:t>
            </w:r>
          </w:p>
        </w:tc>
        <w:tc>
          <w:tcPr>
            <w:tcW w:w="1069" w:type="dxa"/>
            <w:vAlign w:val="center"/>
          </w:tcPr>
          <w:p w14:paraId="4BBF2F52" w14:textId="00C857B0"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137</w:t>
            </w:r>
          </w:p>
        </w:tc>
        <w:tc>
          <w:tcPr>
            <w:tcW w:w="1188" w:type="dxa"/>
            <w:vAlign w:val="center"/>
          </w:tcPr>
          <w:p w14:paraId="0087397B" w14:textId="5BEF1BA3"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153</w:t>
            </w:r>
          </w:p>
        </w:tc>
        <w:tc>
          <w:tcPr>
            <w:tcW w:w="949" w:type="dxa"/>
            <w:vAlign w:val="center"/>
          </w:tcPr>
          <w:p w14:paraId="5EB4CB3F" w14:textId="1D0016BF"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32</w:t>
            </w:r>
          </w:p>
        </w:tc>
        <w:tc>
          <w:tcPr>
            <w:tcW w:w="1069" w:type="dxa"/>
            <w:vAlign w:val="center"/>
          </w:tcPr>
          <w:p w14:paraId="58E60621" w14:textId="7329CF53"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w:t>
            </w:r>
            <w:r w:rsidR="005C2ADE">
              <w:rPr>
                <w:rFonts w:cs="Times New Roman"/>
                <w:color w:val="000000"/>
                <w:sz w:val="16"/>
                <w:szCs w:val="16"/>
              </w:rPr>
              <w:t>8</w:t>
            </w:r>
          </w:p>
        </w:tc>
      </w:tr>
      <w:tr w:rsidR="00E84107" w:rsidRPr="00E84107" w14:paraId="78014997" w14:textId="77777777" w:rsidTr="00676083">
        <w:trPr>
          <w:trHeight w:val="36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2FEA7360" w14:textId="77777777" w:rsidR="00E84107" w:rsidRPr="00E84107" w:rsidRDefault="00E84107" w:rsidP="00676083">
            <w:pPr>
              <w:spacing w:line="240" w:lineRule="auto"/>
              <w:rPr>
                <w:rFonts w:cs="Times New Roman"/>
                <w:sz w:val="16"/>
                <w:szCs w:val="16"/>
              </w:rPr>
            </w:pPr>
            <w:r w:rsidRPr="00E84107">
              <w:rPr>
                <w:rFonts w:cs="Times New Roman"/>
                <w:sz w:val="16"/>
                <w:szCs w:val="16"/>
              </w:rPr>
              <w:t>Sandusky</w:t>
            </w:r>
          </w:p>
        </w:tc>
        <w:tc>
          <w:tcPr>
            <w:tcW w:w="1068" w:type="dxa"/>
            <w:vAlign w:val="center"/>
          </w:tcPr>
          <w:p w14:paraId="5058FBC5" w14:textId="25DF82EE"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0.20</w:t>
            </w:r>
          </w:p>
        </w:tc>
        <w:tc>
          <w:tcPr>
            <w:tcW w:w="1069" w:type="dxa"/>
            <w:vAlign w:val="center"/>
          </w:tcPr>
          <w:p w14:paraId="00BFA2DD" w14:textId="6B7D2224"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0.04</w:t>
            </w:r>
          </w:p>
        </w:tc>
        <w:tc>
          <w:tcPr>
            <w:tcW w:w="1069" w:type="dxa"/>
            <w:vAlign w:val="center"/>
          </w:tcPr>
          <w:p w14:paraId="52D7BA25" w14:textId="426D786D"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21</w:t>
            </w:r>
          </w:p>
        </w:tc>
        <w:tc>
          <w:tcPr>
            <w:tcW w:w="1069" w:type="dxa"/>
            <w:vAlign w:val="center"/>
          </w:tcPr>
          <w:p w14:paraId="390D10AF" w14:textId="32185C29"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530</w:t>
            </w:r>
          </w:p>
        </w:tc>
        <w:tc>
          <w:tcPr>
            <w:tcW w:w="1188" w:type="dxa"/>
            <w:vAlign w:val="center"/>
          </w:tcPr>
          <w:p w14:paraId="4545D673" w14:textId="5C0DFA67"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164</w:t>
            </w:r>
          </w:p>
        </w:tc>
        <w:tc>
          <w:tcPr>
            <w:tcW w:w="949" w:type="dxa"/>
            <w:vAlign w:val="center"/>
          </w:tcPr>
          <w:p w14:paraId="2340E18E" w14:textId="2F7462E4" w:rsidR="00E84107" w:rsidRPr="00E84107" w:rsidRDefault="005C2ADE"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205</w:t>
            </w:r>
          </w:p>
        </w:tc>
        <w:tc>
          <w:tcPr>
            <w:tcW w:w="1069" w:type="dxa"/>
            <w:vAlign w:val="center"/>
          </w:tcPr>
          <w:p w14:paraId="0B19CE05" w14:textId="750BE6E3"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2</w:t>
            </w:r>
            <w:r w:rsidR="005C2ADE">
              <w:rPr>
                <w:rFonts w:cs="Times New Roman"/>
                <w:color w:val="000000"/>
                <w:sz w:val="16"/>
                <w:szCs w:val="16"/>
              </w:rPr>
              <w:t>9</w:t>
            </w:r>
          </w:p>
        </w:tc>
      </w:tr>
      <w:tr w:rsidR="00E84107" w:rsidRPr="00E84107" w14:paraId="6F919C15" w14:textId="77777777" w:rsidTr="00676083">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64711366" w14:textId="167F7779" w:rsidR="00E84107" w:rsidRPr="00E84107" w:rsidRDefault="00F55E79" w:rsidP="00676083">
            <w:pPr>
              <w:spacing w:line="240" w:lineRule="auto"/>
              <w:rPr>
                <w:rFonts w:cs="Times New Roman"/>
                <w:sz w:val="16"/>
                <w:szCs w:val="16"/>
              </w:rPr>
            </w:pPr>
            <w:r>
              <w:rPr>
                <w:rFonts w:cs="Times New Roman"/>
                <w:sz w:val="16"/>
                <w:szCs w:val="16"/>
              </w:rPr>
              <w:t xml:space="preserve">   </w:t>
            </w:r>
            <w:r w:rsidR="00E84107" w:rsidRPr="00E84107">
              <w:rPr>
                <w:rFonts w:cs="Times New Roman"/>
                <w:sz w:val="16"/>
                <w:szCs w:val="16"/>
              </w:rPr>
              <w:t>Honey</w:t>
            </w:r>
          </w:p>
        </w:tc>
        <w:tc>
          <w:tcPr>
            <w:tcW w:w="1068" w:type="dxa"/>
            <w:vAlign w:val="center"/>
          </w:tcPr>
          <w:p w14:paraId="61021F79" w14:textId="6B06F5D1"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0.20</w:t>
            </w:r>
          </w:p>
        </w:tc>
        <w:tc>
          <w:tcPr>
            <w:tcW w:w="1069" w:type="dxa"/>
            <w:vAlign w:val="center"/>
          </w:tcPr>
          <w:p w14:paraId="297E429E" w14:textId="4CCE3090"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0.02</w:t>
            </w:r>
          </w:p>
        </w:tc>
        <w:tc>
          <w:tcPr>
            <w:tcW w:w="1069" w:type="dxa"/>
            <w:vAlign w:val="center"/>
          </w:tcPr>
          <w:p w14:paraId="6BCE832F" w14:textId="496E1A2E"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12</w:t>
            </w:r>
          </w:p>
        </w:tc>
        <w:tc>
          <w:tcPr>
            <w:tcW w:w="1069" w:type="dxa"/>
            <w:vAlign w:val="center"/>
          </w:tcPr>
          <w:p w14:paraId="6C8B8F78" w14:textId="335323A3"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68.6</w:t>
            </w:r>
          </w:p>
        </w:tc>
        <w:tc>
          <w:tcPr>
            <w:tcW w:w="1188" w:type="dxa"/>
            <w:vAlign w:val="center"/>
          </w:tcPr>
          <w:p w14:paraId="410BCFED" w14:textId="46204040"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178</w:t>
            </w:r>
          </w:p>
        </w:tc>
        <w:tc>
          <w:tcPr>
            <w:tcW w:w="949" w:type="dxa"/>
            <w:vAlign w:val="center"/>
          </w:tcPr>
          <w:p w14:paraId="7D348F23" w14:textId="78F96812"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c>
          <w:tcPr>
            <w:tcW w:w="1069" w:type="dxa"/>
            <w:vAlign w:val="center"/>
          </w:tcPr>
          <w:p w14:paraId="64641BF6" w14:textId="3F79D5F9"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1</w:t>
            </w:r>
            <w:r w:rsidR="005C2ADE">
              <w:rPr>
                <w:rFonts w:cs="Times New Roman"/>
                <w:color w:val="000000"/>
                <w:sz w:val="16"/>
                <w:szCs w:val="16"/>
              </w:rPr>
              <w:t>1</w:t>
            </w:r>
          </w:p>
        </w:tc>
      </w:tr>
      <w:tr w:rsidR="00E84107" w:rsidRPr="00E84107" w14:paraId="45B7E939" w14:textId="77777777" w:rsidTr="00676083">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01DCB2A" w14:textId="77777777" w:rsidR="00E84107" w:rsidRPr="00E84107" w:rsidRDefault="00E84107" w:rsidP="00676083">
            <w:pPr>
              <w:spacing w:line="240" w:lineRule="auto"/>
              <w:rPr>
                <w:rFonts w:cs="Times New Roman"/>
                <w:sz w:val="16"/>
                <w:szCs w:val="16"/>
              </w:rPr>
            </w:pPr>
            <w:r w:rsidRPr="00E84107">
              <w:rPr>
                <w:rFonts w:cs="Times New Roman"/>
                <w:sz w:val="16"/>
                <w:szCs w:val="16"/>
              </w:rPr>
              <w:t>Raisin</w:t>
            </w:r>
          </w:p>
        </w:tc>
        <w:tc>
          <w:tcPr>
            <w:tcW w:w="1068" w:type="dxa"/>
            <w:vAlign w:val="center"/>
          </w:tcPr>
          <w:p w14:paraId="5207D5B6" w14:textId="03393B8D"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0.08</w:t>
            </w:r>
          </w:p>
        </w:tc>
        <w:tc>
          <w:tcPr>
            <w:tcW w:w="1069" w:type="dxa"/>
            <w:vAlign w:val="center"/>
          </w:tcPr>
          <w:p w14:paraId="119E7D96" w14:textId="6CA65408"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0.03</w:t>
            </w:r>
          </w:p>
        </w:tc>
        <w:tc>
          <w:tcPr>
            <w:tcW w:w="1069" w:type="dxa"/>
            <w:vAlign w:val="center"/>
          </w:tcPr>
          <w:p w14:paraId="0844AE80" w14:textId="37CA1004"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34</w:t>
            </w:r>
          </w:p>
        </w:tc>
        <w:tc>
          <w:tcPr>
            <w:tcW w:w="1069" w:type="dxa"/>
            <w:vAlign w:val="center"/>
          </w:tcPr>
          <w:p w14:paraId="4DE71128" w14:textId="46D75813"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113</w:t>
            </w:r>
          </w:p>
        </w:tc>
        <w:tc>
          <w:tcPr>
            <w:tcW w:w="1188" w:type="dxa"/>
            <w:vAlign w:val="center"/>
          </w:tcPr>
          <w:p w14:paraId="348A0F43" w14:textId="677DFAC8"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42</w:t>
            </w:r>
          </w:p>
        </w:tc>
        <w:tc>
          <w:tcPr>
            <w:tcW w:w="949" w:type="dxa"/>
            <w:vAlign w:val="center"/>
          </w:tcPr>
          <w:p w14:paraId="2F784E1D" w14:textId="14084634" w:rsidR="00E84107" w:rsidRPr="00E84107" w:rsidRDefault="005C2ADE"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50</w:t>
            </w:r>
          </w:p>
        </w:tc>
        <w:tc>
          <w:tcPr>
            <w:tcW w:w="1069" w:type="dxa"/>
            <w:vAlign w:val="center"/>
          </w:tcPr>
          <w:p w14:paraId="35598108" w14:textId="778E141A" w:rsidR="00E84107" w:rsidRPr="00E84107" w:rsidRDefault="005C2ADE"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36</w:t>
            </w:r>
          </w:p>
        </w:tc>
      </w:tr>
      <w:bookmarkEnd w:id="1"/>
    </w:tbl>
    <w:p w14:paraId="57FC5DA6" w14:textId="1BABEEB3" w:rsidR="00147BB0" w:rsidRDefault="00147BB0" w:rsidP="008A7740">
      <w:pPr>
        <w:ind w:firstLine="720"/>
      </w:pPr>
    </w:p>
    <w:p w14:paraId="30601888" w14:textId="3988B193" w:rsidR="00676083" w:rsidRDefault="00AD19B7" w:rsidP="00676083">
      <w:pPr>
        <w:spacing w:line="240" w:lineRule="auto"/>
        <w:jc w:val="center"/>
      </w:pPr>
      <w:r>
        <w:rPr>
          <w:noProof/>
        </w:rPr>
        <w:drawing>
          <wp:inline distT="0" distB="0" distL="0" distR="0" wp14:anchorId="4C1134C2" wp14:editId="0B882A03">
            <wp:extent cx="4343400" cy="4864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3400" cy="4864608"/>
                    </a:xfrm>
                    <a:prstGeom prst="rect">
                      <a:avLst/>
                    </a:prstGeom>
                  </pic:spPr>
                </pic:pic>
              </a:graphicData>
            </a:graphic>
          </wp:inline>
        </w:drawing>
      </w:r>
    </w:p>
    <w:p w14:paraId="7F398713" w14:textId="4F4DEDA5" w:rsidR="00676083" w:rsidRDefault="00676083" w:rsidP="00AD19B7">
      <w:pPr>
        <w:pStyle w:val="Caption"/>
      </w:pPr>
      <w:r>
        <w:t>Figure 2: Annual TP load (kg/km</w:t>
      </w:r>
      <w:r>
        <w:rPr>
          <w:vertAlign w:val="superscript"/>
        </w:rPr>
        <w:t>2</w:t>
      </w:r>
      <w:r>
        <w:t>) for the entire period of interest (200</w:t>
      </w:r>
      <w:r w:rsidR="002D25E0">
        <w:t>9</w:t>
      </w:r>
      <w:r>
        <w:t>-202</w:t>
      </w:r>
      <w:r w:rsidR="002D25E0">
        <w:t>1</w:t>
      </w:r>
      <w:r>
        <w:t>) across all sites. The gray bars in panels are the WRTDS Kalman Filter results. Red line shows the WRTDS flow normalized results. The Blue line shows the 5 year moving average of “actual” annual SRP loads.</w:t>
      </w:r>
    </w:p>
    <w:p w14:paraId="0D4C2ED2" w14:textId="521A825E" w:rsidR="004349A8" w:rsidRDefault="005F0409" w:rsidP="004349A8">
      <w:pPr>
        <w:ind w:firstLine="720"/>
      </w:pPr>
      <w:r>
        <w:t xml:space="preserve">Overall, for the period between </w:t>
      </w:r>
      <w:r w:rsidR="00366CF2">
        <w:t>2009 and 2021</w:t>
      </w:r>
      <w:r>
        <w:t xml:space="preserve">, percent changes </w:t>
      </w:r>
      <w:r w:rsidR="00366CF2">
        <w:t xml:space="preserve">in phosphorus </w:t>
      </w:r>
      <w:r>
        <w:t xml:space="preserve">were greatest at the Blanchard, Raisin, and Sandusky sites. The Blanchard site displaying the greatest percentage increases in FN SRP and TP concentrations, while the Sandusky site displayed the greatest percentage increase in FN SRP flux and the Raisin site displayed the greatest percentage increase in FN TP flux. </w:t>
      </w:r>
      <w:r w:rsidR="004349A8">
        <w:t>Meanwhile, the Honey, Tiffin, and Maumee sites generally displayed near zero or negative percent changes for FN SRP and TP concentrations and fluxes. In general, the direction of FN SRP concentration and flux trends was mixed from site to site across the WLEB, while FN TP concentrations and fluxes increased at all sites.</w:t>
      </w:r>
    </w:p>
    <w:p w14:paraId="47329ADF" w14:textId="3EB0671F" w:rsidR="00F91D78" w:rsidRDefault="00F91D78" w:rsidP="00F91D78">
      <w:pPr>
        <w:ind w:firstLine="720"/>
      </w:pPr>
      <w:r>
        <w:t xml:space="preserve">Although, flow-normalization reduces the noise associated with trends, concentrations trends still tend to be biased toward low flow observations (due to the greater number of low flow observations), while flux trends are biased toward high flow observations </w:t>
      </w:r>
      <w:r>
        <w:fldChar w:fldCharType="begin"/>
      </w:r>
      <w:r>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fldChar w:fldCharType="separate"/>
      </w:r>
      <w:r>
        <w:rPr>
          <w:noProof/>
        </w:rPr>
        <w:t>(Sprague et al., 2011)</w:t>
      </w:r>
      <w:r>
        <w:fldChar w:fldCharType="end"/>
      </w:r>
      <w:r>
        <w:t xml:space="preserve">. Thus, the greater increase in SRP and TP concentrations at Blanchard suggests that the baseflow or low flow concentrations are increasing at a greater magnitude than the high flow concentrations. Sites within increasing SRP trends generally had greater increases in SRP concentrations than SRP fluxes, while sites generally had a greater increase in flux than concentration for TP. This would suggest that in the WLEB, where SRP is increasing, it is generally increasing more at low flow, but TP is generally increasing more at high flows. </w:t>
      </w:r>
    </w:p>
    <w:p w14:paraId="44C0BA16" w14:textId="23FF5501" w:rsidR="00665B3B" w:rsidRDefault="008A7740" w:rsidP="00D623F7">
      <w:pPr>
        <w:ind w:firstLine="720"/>
      </w:pPr>
      <w:r>
        <w:t xml:space="preserve">Relative to P reduction targets in the WLEB, </w:t>
      </w:r>
      <w:r w:rsidR="00450C40">
        <w:t xml:space="preserve">the downward trends in SRP fluxes in the Maumee River and the </w:t>
      </w:r>
      <w:r w:rsidR="005B122A">
        <w:t>Tiffin River</w:t>
      </w:r>
      <w:r w:rsidR="00450C40">
        <w:t xml:space="preserve"> (a smaller tributary of the Maumee) indicate that some regional progress is being made towards mitigating SRP </w:t>
      </w:r>
      <w:r w:rsidR="005B122A">
        <w:t>delivery.</w:t>
      </w:r>
      <w:r w:rsidR="00450C40">
        <w:t xml:space="preserve"> </w:t>
      </w:r>
      <w:r w:rsidR="005B122A">
        <w:t xml:space="preserve">However, the </w:t>
      </w:r>
      <w:r w:rsidR="00D623F7">
        <w:t xml:space="preserve">consistently positive percent changes in </w:t>
      </w:r>
      <w:r w:rsidR="005B122A">
        <w:t xml:space="preserve">TP concentrations and fluxes </w:t>
      </w:r>
      <w:r w:rsidR="00D623F7">
        <w:t xml:space="preserve">across the basin suggest that we should temper our </w:t>
      </w:r>
      <w:r w:rsidR="00E56AB6">
        <w:t>hopes that</w:t>
      </w:r>
      <w:r w:rsidR="00D623F7">
        <w:t xml:space="preserve"> the downward trends in SRP in select watersheds</w:t>
      </w:r>
      <w:r w:rsidR="00E56AB6">
        <w:t xml:space="preserve"> are harbingers of broad reductions in P delivery to Lake Erie</w:t>
      </w:r>
      <w:r w:rsidR="00D623F7">
        <w:t xml:space="preserve">. </w:t>
      </w:r>
      <w:r w:rsidR="005B122A">
        <w:t>Additionally, the substantial increasing SRP and TP trends for Blanchard</w:t>
      </w:r>
      <w:r w:rsidR="00E56AB6">
        <w:t xml:space="preserve"> </w:t>
      </w:r>
      <w:r w:rsidR="005B122A">
        <w:t xml:space="preserve">and Sandusky rivers </w:t>
      </w:r>
      <w:r w:rsidR="00D623F7">
        <w:t>indicate that recent changes occuring in these watersheds, especially Blanchar</w:t>
      </w:r>
      <w:r w:rsidR="00E56AB6">
        <w:t>d</w:t>
      </w:r>
      <w:r w:rsidR="00D623F7">
        <w:t>, are increasing and not decreasing P export within these watersheds.</w:t>
      </w:r>
      <w:r w:rsidR="00E56AB6">
        <w:t xml:space="preserve"> Interestingly, the Tiffin and Blanchard watersheds are both of similar size and located within the overall Maumee River watersheds. Future research could be instituted to determine </w:t>
      </w:r>
      <w:r w:rsidR="00B263E2">
        <w:t>why the</w:t>
      </w:r>
      <w:r w:rsidR="00F55E79">
        <w:t xml:space="preserve"> Tiffin site </w:t>
      </w:r>
      <w:r w:rsidR="00E56AB6">
        <w:t xml:space="preserve">is experiencing progress towards reduced P delivery, while </w:t>
      </w:r>
      <w:r w:rsidR="00F55E79">
        <w:t>the Blanchard site</w:t>
      </w:r>
      <w:r w:rsidR="00E56AB6">
        <w:t xml:space="preserve"> is not only lacking progress, but actively </w:t>
      </w:r>
      <w:r w:rsidR="00A37D55">
        <w:t>exporting more P since 2009</w:t>
      </w:r>
      <w:r w:rsidR="00E56AB6">
        <w:t xml:space="preserve">. </w:t>
      </w:r>
    </w:p>
    <w:p w14:paraId="156CBBAB" w14:textId="77777777" w:rsidR="00171A81" w:rsidRDefault="00171A81" w:rsidP="00D623F7">
      <w:pPr>
        <w:ind w:firstLine="720"/>
      </w:pPr>
    </w:p>
    <w:p w14:paraId="029A0C0D" w14:textId="0FF28FF6" w:rsidR="008A7740" w:rsidRDefault="008A7740" w:rsidP="008A7740">
      <w:pPr>
        <w:pStyle w:val="Heading2"/>
      </w:pPr>
      <w:r>
        <w:t>Influence of recent trends</w:t>
      </w:r>
      <w:r w:rsidR="0011336B">
        <w:t xml:space="preserve"> (20</w:t>
      </w:r>
      <w:r w:rsidR="00862EAA">
        <w:t>09</w:t>
      </w:r>
      <w:r w:rsidR="0011336B">
        <w:t>-20</w:t>
      </w:r>
      <w:r w:rsidR="00862EAA">
        <w:t>15</w:t>
      </w:r>
      <w:r w:rsidR="0061184F">
        <w:t xml:space="preserve"> vs. 20</w:t>
      </w:r>
      <w:r w:rsidR="00862EAA">
        <w:t>15</w:t>
      </w:r>
      <w:r w:rsidR="0061184F">
        <w:t>-202</w:t>
      </w:r>
      <w:r w:rsidR="00862EAA">
        <w:t>1</w:t>
      </w:r>
      <w:r w:rsidR="0011336B">
        <w:t>)</w:t>
      </w:r>
    </w:p>
    <w:p w14:paraId="6FC83A3D" w14:textId="5FCB221C" w:rsidR="000B34CA" w:rsidRDefault="00FC32AF" w:rsidP="006326CF">
      <w:pPr>
        <w:ind w:firstLine="360"/>
      </w:pPr>
      <w:r>
        <w:t xml:space="preserve">For SRP, </w:t>
      </w:r>
      <w:r w:rsidR="00171A81">
        <w:t xml:space="preserve">FN concentration </w:t>
      </w:r>
      <w:r w:rsidR="004E0BAE">
        <w:t>percent</w:t>
      </w:r>
      <w:r w:rsidR="000B34CA">
        <w:t xml:space="preserve"> change</w:t>
      </w:r>
      <w:r w:rsidR="004E0BAE">
        <w:t>s</w:t>
      </w:r>
      <w:r w:rsidR="00171A81">
        <w:t xml:space="preserve"> were lower since 2015 for all sites</w:t>
      </w:r>
      <w:r w:rsidR="006326CF">
        <w:t>,</w:t>
      </w:r>
      <w:r w:rsidR="00171A81">
        <w:t xml:space="preserve"> except Sandusky </w:t>
      </w:r>
      <w:r w:rsidR="00817095">
        <w:t xml:space="preserve">(Table </w:t>
      </w:r>
      <w:r w:rsidR="00171A81">
        <w:t>4</w:t>
      </w:r>
      <w:r w:rsidR="00817095">
        <w:t>)</w:t>
      </w:r>
      <w:r w:rsidR="004F5794">
        <w:t xml:space="preserve">. </w:t>
      </w:r>
      <w:r w:rsidR="000B34CA">
        <w:t>In recent years, t</w:t>
      </w:r>
      <w:r w:rsidR="006326CF">
        <w:t>wo sites had lower positive trends, t</w:t>
      </w:r>
      <w:r w:rsidR="00171A81">
        <w:t>wo sites flipped from a positive to a negative trend</w:t>
      </w:r>
      <w:r w:rsidR="006326CF">
        <w:t>, and one site</w:t>
      </w:r>
      <w:r w:rsidR="004F5794">
        <w:t xml:space="preserve"> had</w:t>
      </w:r>
      <w:r w:rsidR="006326CF">
        <w:t xml:space="preserve"> a</w:t>
      </w:r>
      <w:r w:rsidR="004F5794">
        <w:t xml:space="preserve"> greater negative </w:t>
      </w:r>
      <w:r w:rsidR="006326CF">
        <w:t>trend. For FN flux, a similar</w:t>
      </w:r>
      <w:r w:rsidR="000B34CA">
        <w:t xml:space="preserve"> overall</w:t>
      </w:r>
      <w:r w:rsidR="006326CF">
        <w:t xml:space="preserve"> trend of lower </w:t>
      </w:r>
      <w:r w:rsidR="000B34CA">
        <w:t xml:space="preserve">rates of change </w:t>
      </w:r>
      <w:r w:rsidR="006326CF">
        <w:t xml:space="preserve">since 2015 was observed. Here, one site had a lower positive </w:t>
      </w:r>
      <w:r w:rsidR="000B34CA">
        <w:t>value</w:t>
      </w:r>
      <w:r w:rsidR="006326CF">
        <w:t xml:space="preserve"> in recent years, while four sites flipped from a positive to a negative </w:t>
      </w:r>
      <w:r w:rsidR="000B34CA">
        <w:t>value</w:t>
      </w:r>
      <w:r w:rsidR="006326CF">
        <w:t xml:space="preserve">. Again, the Sandusky site was the exception, with a greater positive </w:t>
      </w:r>
      <w:r w:rsidR="000B34CA">
        <w:t>value</w:t>
      </w:r>
      <w:r w:rsidR="006326CF">
        <w:t xml:space="preserve"> in FN flux in recent years. The average </w:t>
      </w:r>
      <w:r w:rsidR="00B36975">
        <w:t>percent</w:t>
      </w:r>
      <w:r w:rsidR="000B34CA">
        <w:t xml:space="preserve"> change</w:t>
      </w:r>
      <w:r w:rsidR="006326CF">
        <w:t xml:space="preserve"> across the six sites </w:t>
      </w:r>
      <w:r w:rsidR="002D25E0">
        <w:t>reflects</w:t>
      </w:r>
      <w:r w:rsidR="006326CF">
        <w:t xml:space="preserve"> the site by sites observations with a reduction in FN concentration</w:t>
      </w:r>
      <w:r w:rsidR="000B34CA">
        <w:t xml:space="preserve"> values</w:t>
      </w:r>
      <w:r w:rsidR="006326CF">
        <w:t xml:space="preserve"> from </w:t>
      </w:r>
      <w:r w:rsidR="00B36975">
        <w:t>22</w:t>
      </w:r>
      <w:r w:rsidR="006326CF">
        <w:t xml:space="preserve"> to </w:t>
      </w:r>
      <w:r w:rsidR="00B36975">
        <w:t xml:space="preserve">4 </w:t>
      </w:r>
      <w:r w:rsidR="000B34CA">
        <w:t>%</w:t>
      </w:r>
      <w:r w:rsidR="006326CF">
        <w:t xml:space="preserve"> and a reduction in FN flux from </w:t>
      </w:r>
      <w:r w:rsidR="00B36975">
        <w:t>11</w:t>
      </w:r>
      <w:r w:rsidR="006326CF">
        <w:t xml:space="preserve"> to -</w:t>
      </w:r>
      <w:r w:rsidR="00B36975">
        <w:t xml:space="preserve">1 </w:t>
      </w:r>
      <w:r w:rsidR="000B34CA">
        <w:t>%</w:t>
      </w:r>
      <w:r w:rsidR="006326CF">
        <w:t xml:space="preserve">. </w:t>
      </w:r>
    </w:p>
    <w:p w14:paraId="044833C3" w14:textId="22A6F5E0" w:rsidR="000B34CA" w:rsidRDefault="00817095" w:rsidP="00F91D78">
      <w:pPr>
        <w:ind w:firstLine="360"/>
      </w:pPr>
      <w:r>
        <w:t>These results suggest that either a) nutrient reduction strategies enacted in recent years have had a mitigating effect on SRP losses within the basin, b) the cumulative nutrient reduction strategies implemented over the previous decades have reached a critical point and begun improving water quality, c) legacy sources are diminishing within the basin, d) all or some of the above. However, the differing results across the basin (especially, the increasing upward trends in Sandusky) indicate that these improvements have not been observed to the same extent across the basin.</w:t>
      </w:r>
      <w:r w:rsidR="006326CF">
        <w:t xml:space="preserve"> Furthermore, these trends are subject to uncertainty and the relatively small percent changes have the potential to offset by estimation errors.</w:t>
      </w:r>
    </w:p>
    <w:p w14:paraId="4E6F1AD2" w14:textId="07E90E08" w:rsidR="008547C1" w:rsidRDefault="008547C1" w:rsidP="00FC32AF">
      <w:pPr>
        <w:pStyle w:val="Caption"/>
      </w:pPr>
      <w:r>
        <w:t xml:space="preserve">Table </w:t>
      </w:r>
      <w:r w:rsidR="00171A81">
        <w:t>4</w:t>
      </w:r>
      <w:r>
        <w:t>: Rate of change in FN SRP concentration and flux between 200</w:t>
      </w:r>
      <w:r w:rsidR="007A7929">
        <w:t>9</w:t>
      </w:r>
      <w:r>
        <w:t xml:space="preserve"> and 20</w:t>
      </w:r>
      <w:r w:rsidR="007A7929">
        <w:t>15</w:t>
      </w:r>
      <w:r>
        <w:t xml:space="preserve"> and between 2015 and 202</w:t>
      </w:r>
      <w:r w:rsidR="00D20B1C">
        <w:t>1</w:t>
      </w:r>
      <w:r>
        <w:t>, in percent.</w:t>
      </w:r>
    </w:p>
    <w:tbl>
      <w:tblPr>
        <w:tblStyle w:val="PlainTable2"/>
        <w:tblW w:w="0" w:type="auto"/>
        <w:jc w:val="center"/>
        <w:tblLayout w:type="fixed"/>
        <w:tblLook w:val="04A0" w:firstRow="1" w:lastRow="0" w:firstColumn="1" w:lastColumn="0" w:noHBand="0" w:noVBand="1"/>
      </w:tblPr>
      <w:tblGrid>
        <w:gridCol w:w="1260"/>
        <w:gridCol w:w="1080"/>
        <w:gridCol w:w="1077"/>
        <w:gridCol w:w="1169"/>
        <w:gridCol w:w="1253"/>
      </w:tblGrid>
      <w:tr w:rsidR="005F342D" w:rsidRPr="00862EAA" w14:paraId="40E6D783" w14:textId="77777777" w:rsidTr="002D25E0">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Merge w:val="restart"/>
            <w:vAlign w:val="center"/>
          </w:tcPr>
          <w:p w14:paraId="1E0EC06A" w14:textId="315ECE46" w:rsidR="005F342D" w:rsidRPr="002D25E0" w:rsidRDefault="005F342D" w:rsidP="002D25E0">
            <w:pPr>
              <w:spacing w:line="240" w:lineRule="auto"/>
              <w:jc w:val="center"/>
              <w:rPr>
                <w:rFonts w:cs="Times New Roman"/>
                <w:sz w:val="18"/>
                <w:szCs w:val="18"/>
              </w:rPr>
            </w:pPr>
            <w:r w:rsidRPr="002D25E0">
              <w:rPr>
                <w:rFonts w:cs="Times New Roman"/>
                <w:sz w:val="18"/>
                <w:szCs w:val="18"/>
              </w:rPr>
              <w:t>Site</w:t>
            </w:r>
          </w:p>
        </w:tc>
        <w:tc>
          <w:tcPr>
            <w:tcW w:w="2157" w:type="dxa"/>
            <w:gridSpan w:val="2"/>
            <w:vAlign w:val="center"/>
          </w:tcPr>
          <w:p w14:paraId="73828E20" w14:textId="72A6FED3"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concentration</w:t>
            </w:r>
          </w:p>
        </w:tc>
        <w:tc>
          <w:tcPr>
            <w:tcW w:w="2422" w:type="dxa"/>
            <w:gridSpan w:val="2"/>
            <w:vAlign w:val="center"/>
          </w:tcPr>
          <w:p w14:paraId="1950E875" w14:textId="3AF54FE3"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flux</w:t>
            </w:r>
          </w:p>
        </w:tc>
      </w:tr>
      <w:tr w:rsidR="005F342D" w:rsidRPr="00862EAA" w14:paraId="54B7891C" w14:textId="77777777" w:rsidTr="002D25E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Merge/>
            <w:vAlign w:val="center"/>
          </w:tcPr>
          <w:p w14:paraId="15D69B1B" w14:textId="3C68EDA0" w:rsidR="005F342D" w:rsidRPr="002D25E0" w:rsidRDefault="005F342D" w:rsidP="002D25E0">
            <w:pPr>
              <w:spacing w:line="240" w:lineRule="auto"/>
              <w:jc w:val="center"/>
              <w:rPr>
                <w:rFonts w:cs="Times New Roman"/>
                <w:sz w:val="18"/>
                <w:szCs w:val="18"/>
              </w:rPr>
            </w:pPr>
          </w:p>
        </w:tc>
        <w:tc>
          <w:tcPr>
            <w:tcW w:w="1080" w:type="dxa"/>
            <w:vAlign w:val="center"/>
          </w:tcPr>
          <w:p w14:paraId="6509280F" w14:textId="28E7ED3C"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73503F" w:rsidRPr="002D25E0">
              <w:rPr>
                <w:rFonts w:cs="Times New Roman"/>
                <w:sz w:val="18"/>
                <w:szCs w:val="18"/>
              </w:rPr>
              <w:t>9-2015</w:t>
            </w:r>
          </w:p>
        </w:tc>
        <w:tc>
          <w:tcPr>
            <w:tcW w:w="1077" w:type="dxa"/>
            <w:vAlign w:val="center"/>
          </w:tcPr>
          <w:p w14:paraId="2B52ABB4" w14:textId="587B4CA1"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2015-202</w:t>
            </w:r>
            <w:r w:rsidR="0073503F" w:rsidRPr="002D25E0">
              <w:rPr>
                <w:rFonts w:cs="Times New Roman"/>
                <w:sz w:val="18"/>
                <w:szCs w:val="18"/>
              </w:rPr>
              <w:t>1</w:t>
            </w:r>
          </w:p>
        </w:tc>
        <w:tc>
          <w:tcPr>
            <w:tcW w:w="1169" w:type="dxa"/>
            <w:vAlign w:val="center"/>
          </w:tcPr>
          <w:p w14:paraId="1D91F395" w14:textId="1B84DB8A"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73503F" w:rsidRPr="002D25E0">
              <w:rPr>
                <w:rFonts w:cs="Times New Roman"/>
                <w:sz w:val="18"/>
                <w:szCs w:val="18"/>
              </w:rPr>
              <w:t>9</w:t>
            </w:r>
            <w:r w:rsidRPr="002D25E0">
              <w:rPr>
                <w:rFonts w:cs="Times New Roman"/>
                <w:sz w:val="18"/>
                <w:szCs w:val="18"/>
              </w:rPr>
              <w:t>-20</w:t>
            </w:r>
            <w:r w:rsidR="0073503F" w:rsidRPr="002D25E0">
              <w:rPr>
                <w:rFonts w:cs="Times New Roman"/>
                <w:sz w:val="18"/>
                <w:szCs w:val="18"/>
              </w:rPr>
              <w:t>15</w:t>
            </w:r>
          </w:p>
        </w:tc>
        <w:tc>
          <w:tcPr>
            <w:tcW w:w="1253" w:type="dxa"/>
            <w:vAlign w:val="center"/>
          </w:tcPr>
          <w:p w14:paraId="033A50C8" w14:textId="2CE43E8A"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w:t>
            </w:r>
            <w:r w:rsidR="0073503F" w:rsidRPr="002D25E0">
              <w:rPr>
                <w:rFonts w:cs="Times New Roman"/>
                <w:sz w:val="18"/>
                <w:szCs w:val="18"/>
              </w:rPr>
              <w:t>15</w:t>
            </w:r>
            <w:r w:rsidRPr="002D25E0">
              <w:rPr>
                <w:rFonts w:cs="Times New Roman"/>
                <w:sz w:val="18"/>
                <w:szCs w:val="18"/>
              </w:rPr>
              <w:t>-202</w:t>
            </w:r>
            <w:r w:rsidR="0073503F" w:rsidRPr="002D25E0">
              <w:rPr>
                <w:rFonts w:cs="Times New Roman"/>
                <w:sz w:val="18"/>
                <w:szCs w:val="18"/>
              </w:rPr>
              <w:t>1</w:t>
            </w:r>
          </w:p>
        </w:tc>
      </w:tr>
      <w:tr w:rsidR="00233441" w:rsidRPr="00862EAA" w14:paraId="144B92FF" w14:textId="77777777" w:rsidTr="002D25E0">
        <w:trPr>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013E851" w14:textId="421281D1" w:rsidR="00233441" w:rsidRPr="002D25E0" w:rsidRDefault="00233441" w:rsidP="002D25E0">
            <w:pPr>
              <w:spacing w:line="240" w:lineRule="auto"/>
              <w:rPr>
                <w:rFonts w:cs="Times New Roman"/>
                <w:sz w:val="18"/>
                <w:szCs w:val="18"/>
              </w:rPr>
            </w:pPr>
            <w:r w:rsidRPr="002D25E0">
              <w:rPr>
                <w:rFonts w:cs="Times New Roman"/>
                <w:sz w:val="18"/>
                <w:szCs w:val="18"/>
              </w:rPr>
              <w:t>Maumee</w:t>
            </w:r>
          </w:p>
        </w:tc>
        <w:tc>
          <w:tcPr>
            <w:tcW w:w="1080" w:type="dxa"/>
            <w:vAlign w:val="center"/>
          </w:tcPr>
          <w:p w14:paraId="36C4298B" w14:textId="3D6B3AD7"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077" w:type="dxa"/>
            <w:vAlign w:val="center"/>
          </w:tcPr>
          <w:p w14:paraId="1E7A833A" w14:textId="595781B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169" w:type="dxa"/>
            <w:vAlign w:val="center"/>
          </w:tcPr>
          <w:p w14:paraId="5D0917B8" w14:textId="1C7E9AC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0</w:t>
            </w:r>
          </w:p>
        </w:tc>
        <w:tc>
          <w:tcPr>
            <w:tcW w:w="1253" w:type="dxa"/>
            <w:vAlign w:val="center"/>
          </w:tcPr>
          <w:p w14:paraId="40DFCAE8" w14:textId="7599E252"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r>
      <w:tr w:rsidR="00233441" w:rsidRPr="00862EAA" w14:paraId="6B30C622" w14:textId="77777777" w:rsidTr="002D25E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252FF0E" w14:textId="4495A7F3" w:rsidR="00233441" w:rsidRPr="002D25E0" w:rsidRDefault="002D25E0" w:rsidP="002D25E0">
            <w:pPr>
              <w:spacing w:line="240" w:lineRule="auto"/>
              <w:rPr>
                <w:rFonts w:cs="Times New Roman"/>
                <w:sz w:val="18"/>
                <w:szCs w:val="18"/>
              </w:rPr>
            </w:pPr>
            <w:r w:rsidRPr="002D25E0">
              <w:rPr>
                <w:rFonts w:cs="Times New Roman"/>
                <w:sz w:val="18"/>
                <w:szCs w:val="18"/>
              </w:rPr>
              <w:t xml:space="preserve">   </w:t>
            </w:r>
            <w:r w:rsidR="00233441" w:rsidRPr="002D25E0">
              <w:rPr>
                <w:rFonts w:cs="Times New Roman"/>
                <w:sz w:val="18"/>
                <w:szCs w:val="18"/>
              </w:rPr>
              <w:t>Tiffin</w:t>
            </w:r>
          </w:p>
        </w:tc>
        <w:tc>
          <w:tcPr>
            <w:tcW w:w="1080" w:type="dxa"/>
            <w:vAlign w:val="center"/>
          </w:tcPr>
          <w:p w14:paraId="350F7B54" w14:textId="0F246147"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10</w:t>
            </w:r>
          </w:p>
        </w:tc>
        <w:tc>
          <w:tcPr>
            <w:tcW w:w="1077" w:type="dxa"/>
            <w:vAlign w:val="center"/>
          </w:tcPr>
          <w:p w14:paraId="2DFB04AE" w14:textId="53CE971B"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-14</w:t>
            </w:r>
          </w:p>
        </w:tc>
        <w:tc>
          <w:tcPr>
            <w:tcW w:w="1169" w:type="dxa"/>
            <w:vAlign w:val="center"/>
          </w:tcPr>
          <w:p w14:paraId="11EF65C6" w14:textId="4A6338BF"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9</w:t>
            </w:r>
          </w:p>
        </w:tc>
        <w:tc>
          <w:tcPr>
            <w:tcW w:w="1253" w:type="dxa"/>
            <w:vAlign w:val="center"/>
          </w:tcPr>
          <w:p w14:paraId="28201940" w14:textId="1F6DAC1B"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-13</w:t>
            </w:r>
          </w:p>
        </w:tc>
      </w:tr>
      <w:tr w:rsidR="00233441" w:rsidRPr="00862EAA" w14:paraId="31E34CDC" w14:textId="77777777" w:rsidTr="002D25E0">
        <w:trPr>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92E04D5" w14:textId="166B4A90" w:rsidR="00233441" w:rsidRPr="002D25E0" w:rsidRDefault="002D25E0" w:rsidP="002D25E0">
            <w:pPr>
              <w:spacing w:line="240" w:lineRule="auto"/>
              <w:rPr>
                <w:rFonts w:cs="Times New Roman"/>
                <w:sz w:val="18"/>
                <w:szCs w:val="18"/>
              </w:rPr>
            </w:pPr>
            <w:r>
              <w:rPr>
                <w:rFonts w:cs="Times New Roman"/>
                <w:sz w:val="18"/>
                <w:szCs w:val="18"/>
              </w:rPr>
              <w:t xml:space="preserve">   </w:t>
            </w:r>
            <w:r w:rsidR="00233441" w:rsidRPr="002D25E0">
              <w:rPr>
                <w:rFonts w:cs="Times New Roman"/>
                <w:sz w:val="18"/>
                <w:szCs w:val="18"/>
              </w:rPr>
              <w:t>Blanchard</w:t>
            </w:r>
          </w:p>
        </w:tc>
        <w:tc>
          <w:tcPr>
            <w:tcW w:w="1080" w:type="dxa"/>
            <w:vAlign w:val="center"/>
          </w:tcPr>
          <w:p w14:paraId="057C2A3C" w14:textId="50DFAE8A"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70</w:t>
            </w:r>
          </w:p>
        </w:tc>
        <w:tc>
          <w:tcPr>
            <w:tcW w:w="1077" w:type="dxa"/>
            <w:vAlign w:val="center"/>
          </w:tcPr>
          <w:p w14:paraId="076D04E2" w14:textId="10DBC15D"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19</w:t>
            </w:r>
          </w:p>
        </w:tc>
        <w:tc>
          <w:tcPr>
            <w:tcW w:w="1169" w:type="dxa"/>
            <w:vAlign w:val="center"/>
          </w:tcPr>
          <w:p w14:paraId="7C6117B5" w14:textId="290E802B"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16</w:t>
            </w:r>
          </w:p>
        </w:tc>
        <w:tc>
          <w:tcPr>
            <w:tcW w:w="1253" w:type="dxa"/>
            <w:vAlign w:val="center"/>
          </w:tcPr>
          <w:p w14:paraId="33D77124" w14:textId="550D5D9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11</w:t>
            </w:r>
          </w:p>
        </w:tc>
      </w:tr>
      <w:tr w:rsidR="00233441" w:rsidRPr="00862EAA" w14:paraId="282D0EE8" w14:textId="77777777" w:rsidTr="002D25E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8086657" w14:textId="4A3576B7" w:rsidR="00233441" w:rsidRPr="002D25E0" w:rsidRDefault="00233441" w:rsidP="002D25E0">
            <w:pPr>
              <w:spacing w:line="240" w:lineRule="auto"/>
              <w:rPr>
                <w:rFonts w:cs="Times New Roman"/>
                <w:sz w:val="18"/>
                <w:szCs w:val="18"/>
              </w:rPr>
            </w:pPr>
            <w:r w:rsidRPr="002D25E0">
              <w:rPr>
                <w:rFonts w:cs="Times New Roman"/>
                <w:sz w:val="18"/>
                <w:szCs w:val="18"/>
              </w:rPr>
              <w:t>Sandusky</w:t>
            </w:r>
          </w:p>
        </w:tc>
        <w:tc>
          <w:tcPr>
            <w:tcW w:w="1080" w:type="dxa"/>
            <w:vAlign w:val="center"/>
          </w:tcPr>
          <w:p w14:paraId="754B1050" w14:textId="27882205"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7</w:t>
            </w:r>
          </w:p>
        </w:tc>
        <w:tc>
          <w:tcPr>
            <w:tcW w:w="1077" w:type="dxa"/>
            <w:vAlign w:val="center"/>
          </w:tcPr>
          <w:p w14:paraId="5BBDBEE1" w14:textId="537E9884"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19</w:t>
            </w:r>
          </w:p>
        </w:tc>
        <w:tc>
          <w:tcPr>
            <w:tcW w:w="1169" w:type="dxa"/>
            <w:vAlign w:val="center"/>
          </w:tcPr>
          <w:p w14:paraId="19509448" w14:textId="04D09E54"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9</w:t>
            </w:r>
          </w:p>
        </w:tc>
        <w:tc>
          <w:tcPr>
            <w:tcW w:w="1253" w:type="dxa"/>
            <w:vAlign w:val="center"/>
          </w:tcPr>
          <w:p w14:paraId="43556021" w14:textId="576C151B"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9</w:t>
            </w:r>
          </w:p>
        </w:tc>
      </w:tr>
      <w:tr w:rsidR="00233441" w:rsidRPr="00862EAA" w14:paraId="0A21D458" w14:textId="77777777" w:rsidTr="002D25E0">
        <w:trPr>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3A18FEE" w14:textId="65562902" w:rsidR="00233441" w:rsidRPr="002D25E0" w:rsidRDefault="002D25E0" w:rsidP="002D25E0">
            <w:pPr>
              <w:spacing w:line="240" w:lineRule="auto"/>
              <w:rPr>
                <w:rFonts w:cs="Times New Roman"/>
                <w:sz w:val="18"/>
                <w:szCs w:val="18"/>
              </w:rPr>
            </w:pPr>
            <w:r>
              <w:rPr>
                <w:rFonts w:cs="Times New Roman"/>
                <w:sz w:val="18"/>
                <w:szCs w:val="18"/>
              </w:rPr>
              <w:t xml:space="preserve">   </w:t>
            </w:r>
            <w:r w:rsidR="00233441" w:rsidRPr="002D25E0">
              <w:rPr>
                <w:rFonts w:cs="Times New Roman"/>
                <w:sz w:val="18"/>
                <w:szCs w:val="18"/>
              </w:rPr>
              <w:t>Honey</w:t>
            </w:r>
          </w:p>
        </w:tc>
        <w:tc>
          <w:tcPr>
            <w:tcW w:w="1080" w:type="dxa"/>
            <w:vAlign w:val="center"/>
          </w:tcPr>
          <w:p w14:paraId="481B7966" w14:textId="4AC127EC"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-4</w:t>
            </w:r>
          </w:p>
        </w:tc>
        <w:tc>
          <w:tcPr>
            <w:tcW w:w="1077" w:type="dxa"/>
            <w:vAlign w:val="center"/>
          </w:tcPr>
          <w:p w14:paraId="610D1306" w14:textId="002A9705"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169" w:type="dxa"/>
            <w:vAlign w:val="center"/>
          </w:tcPr>
          <w:p w14:paraId="4D9FA645" w14:textId="02C7D9ED"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253" w:type="dxa"/>
            <w:vAlign w:val="center"/>
          </w:tcPr>
          <w:p w14:paraId="00BA7DC9" w14:textId="182A9368"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-3</w:t>
            </w:r>
          </w:p>
        </w:tc>
      </w:tr>
      <w:tr w:rsidR="00233441" w:rsidRPr="00862EAA" w14:paraId="3D76F866" w14:textId="77777777" w:rsidTr="002D25E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EDBF6BB" w14:textId="6179FD08" w:rsidR="00233441" w:rsidRPr="002D25E0" w:rsidRDefault="00233441" w:rsidP="002D25E0">
            <w:pPr>
              <w:spacing w:line="240" w:lineRule="auto"/>
              <w:rPr>
                <w:rFonts w:cs="Times New Roman"/>
                <w:sz w:val="18"/>
                <w:szCs w:val="18"/>
              </w:rPr>
            </w:pPr>
            <w:r w:rsidRPr="002D25E0">
              <w:rPr>
                <w:rFonts w:cs="Times New Roman"/>
                <w:sz w:val="18"/>
                <w:szCs w:val="18"/>
              </w:rPr>
              <w:t>Raisin</w:t>
            </w:r>
          </w:p>
        </w:tc>
        <w:tc>
          <w:tcPr>
            <w:tcW w:w="1080" w:type="dxa"/>
            <w:vAlign w:val="center"/>
          </w:tcPr>
          <w:p w14:paraId="679537B4" w14:textId="4672548C"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43</w:t>
            </w:r>
          </w:p>
        </w:tc>
        <w:tc>
          <w:tcPr>
            <w:tcW w:w="1077" w:type="dxa"/>
            <w:vAlign w:val="center"/>
          </w:tcPr>
          <w:p w14:paraId="6286D113" w14:textId="1DD28998"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12</w:t>
            </w:r>
          </w:p>
        </w:tc>
        <w:tc>
          <w:tcPr>
            <w:tcW w:w="1169" w:type="dxa"/>
            <w:vAlign w:val="center"/>
          </w:tcPr>
          <w:p w14:paraId="690FBA30" w14:textId="433AA730"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28</w:t>
            </w:r>
          </w:p>
        </w:tc>
        <w:tc>
          <w:tcPr>
            <w:tcW w:w="1253" w:type="dxa"/>
            <w:vAlign w:val="center"/>
          </w:tcPr>
          <w:p w14:paraId="1B66C00C" w14:textId="546A0284"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r>
      <w:tr w:rsidR="00233441" w:rsidRPr="00862EAA" w14:paraId="73ADE93D" w14:textId="77777777" w:rsidTr="002D25E0">
        <w:trPr>
          <w:trHeight w:val="308"/>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0CCAAC" w14:textId="0293D9F3" w:rsidR="00233441" w:rsidRPr="002D25E0" w:rsidRDefault="00233441" w:rsidP="002D25E0">
            <w:pPr>
              <w:spacing w:line="240" w:lineRule="auto"/>
              <w:jc w:val="center"/>
              <w:rPr>
                <w:rFonts w:cs="Times New Roman"/>
                <w:sz w:val="18"/>
                <w:szCs w:val="18"/>
              </w:rPr>
            </w:pPr>
            <w:r w:rsidRPr="002D25E0">
              <w:rPr>
                <w:rFonts w:cs="Times New Roman"/>
                <w:sz w:val="18"/>
                <w:szCs w:val="18"/>
              </w:rPr>
              <w:t>Average</w:t>
            </w:r>
          </w:p>
        </w:tc>
        <w:tc>
          <w:tcPr>
            <w:tcW w:w="1080" w:type="dxa"/>
            <w:vAlign w:val="center"/>
          </w:tcPr>
          <w:p w14:paraId="32C7E5DA" w14:textId="2E5DCC43"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22</w:t>
            </w:r>
          </w:p>
        </w:tc>
        <w:tc>
          <w:tcPr>
            <w:tcW w:w="1077" w:type="dxa"/>
            <w:vAlign w:val="center"/>
          </w:tcPr>
          <w:p w14:paraId="39C9ACF8" w14:textId="5F720187"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4</w:t>
            </w:r>
          </w:p>
        </w:tc>
        <w:tc>
          <w:tcPr>
            <w:tcW w:w="1169" w:type="dxa"/>
            <w:vAlign w:val="center"/>
          </w:tcPr>
          <w:p w14:paraId="08FD7898" w14:textId="39BE1906"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11</w:t>
            </w:r>
          </w:p>
        </w:tc>
        <w:tc>
          <w:tcPr>
            <w:tcW w:w="1253" w:type="dxa"/>
            <w:vAlign w:val="center"/>
          </w:tcPr>
          <w:p w14:paraId="7F08122B" w14:textId="4E881AE5"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w:t>
            </w:r>
          </w:p>
        </w:tc>
      </w:tr>
    </w:tbl>
    <w:p w14:paraId="2FA955E7" w14:textId="77777777" w:rsidR="000B34CA" w:rsidRDefault="000B34CA" w:rsidP="000B34CA">
      <w:pPr>
        <w:ind w:firstLine="720"/>
      </w:pPr>
    </w:p>
    <w:p w14:paraId="04BC507D" w14:textId="10157CE6" w:rsidR="002C42A1" w:rsidRDefault="003A52D0" w:rsidP="002C42A1">
      <w:pPr>
        <w:ind w:firstLine="720"/>
      </w:pPr>
      <w:r>
        <w:t>For TP,</w:t>
      </w:r>
      <w:r w:rsidR="000B34CA">
        <w:t xml:space="preserve"> t</w:t>
      </w:r>
      <w:r w:rsidR="001820D5">
        <w:t xml:space="preserve">wo sites had lower positive </w:t>
      </w:r>
      <w:r w:rsidR="000B34CA">
        <w:t>rates of changes</w:t>
      </w:r>
      <w:r w:rsidR="001820D5">
        <w:t xml:space="preserve"> in recent years</w:t>
      </w:r>
      <w:r w:rsidR="000B34CA">
        <w:t xml:space="preserve"> and one</w:t>
      </w:r>
      <w:r w:rsidR="001820D5">
        <w:t xml:space="preserve"> site</w:t>
      </w:r>
      <w:r w:rsidR="000B34CA">
        <w:t xml:space="preserve"> </w:t>
      </w:r>
      <w:r w:rsidR="001820D5">
        <w:t>flipped from a positive to a negative trend</w:t>
      </w:r>
      <w:r w:rsidR="000B34CA">
        <w:t>; meanwhile, two sites flipped from a negative to a positive trend and one site had an increased positive trend</w:t>
      </w:r>
      <w:r w:rsidR="00F91D78">
        <w:t xml:space="preserve"> (Table 5)</w:t>
      </w:r>
      <w:r w:rsidR="000B34CA">
        <w:t xml:space="preserve">. </w:t>
      </w:r>
      <w:r w:rsidR="001820D5">
        <w:t xml:space="preserve">For FN flux, a similar </w:t>
      </w:r>
      <w:r w:rsidR="000B34CA">
        <w:t>overall trend to FN concentration was observed.</w:t>
      </w:r>
      <w:r w:rsidR="001820D5">
        <w:t xml:space="preserve"> </w:t>
      </w:r>
      <w:r w:rsidR="000B34CA">
        <w:t>Two</w:t>
      </w:r>
      <w:r w:rsidR="001820D5">
        <w:t xml:space="preserve"> site</w:t>
      </w:r>
      <w:r w:rsidR="000B34CA">
        <w:t>s</w:t>
      </w:r>
      <w:r w:rsidR="001820D5">
        <w:t xml:space="preserve"> had lower positive trend</w:t>
      </w:r>
      <w:r w:rsidR="000B34CA">
        <w:t>s</w:t>
      </w:r>
      <w:r w:rsidR="001820D5">
        <w:t xml:space="preserve"> in recent years</w:t>
      </w:r>
      <w:r w:rsidR="000B34CA">
        <w:t>; however, one site flipped from a negative to a positive trend and three sites had an increased positive trend</w:t>
      </w:r>
      <w:r w:rsidR="001820D5">
        <w:t xml:space="preserve"> </w:t>
      </w:r>
      <w:r w:rsidR="000B34CA">
        <w:t xml:space="preserve">in recent years. </w:t>
      </w:r>
      <w:r w:rsidR="001820D5">
        <w:t xml:space="preserve">The average </w:t>
      </w:r>
      <w:r w:rsidR="00B36975">
        <w:t>change</w:t>
      </w:r>
      <w:r w:rsidR="001820D5">
        <w:t xml:space="preserve">s across the six sites reflect the site by sites observations with </w:t>
      </w:r>
      <w:r w:rsidR="00B36975">
        <w:t xml:space="preserve">stable </w:t>
      </w:r>
      <w:r w:rsidR="001820D5">
        <w:t xml:space="preserve">FN concentration </w:t>
      </w:r>
      <w:r w:rsidR="00B36975">
        <w:t xml:space="preserve">change of 10 </w:t>
      </w:r>
      <w:r w:rsidR="000B34CA">
        <w:t>%</w:t>
      </w:r>
      <w:r w:rsidR="00B36975">
        <w:t xml:space="preserve"> in both periods</w:t>
      </w:r>
      <w:r w:rsidR="001820D5">
        <w:t xml:space="preserve"> and a</w:t>
      </w:r>
      <w:r w:rsidR="00B36975">
        <w:t xml:space="preserve"> slight decrease in</w:t>
      </w:r>
      <w:r w:rsidR="001820D5">
        <w:t xml:space="preserve"> FN flux </w:t>
      </w:r>
      <w:r w:rsidR="000B34CA">
        <w:t xml:space="preserve">values from </w:t>
      </w:r>
      <w:r w:rsidR="00B36975">
        <w:t>11</w:t>
      </w:r>
      <w:r w:rsidR="001820D5">
        <w:t xml:space="preserve"> to </w:t>
      </w:r>
      <w:r w:rsidR="00B36975">
        <w:t>7</w:t>
      </w:r>
      <w:r w:rsidR="000B34CA">
        <w:t xml:space="preserve"> %</w:t>
      </w:r>
      <w:r w:rsidR="001820D5">
        <w:t xml:space="preserve">.  </w:t>
      </w:r>
      <w:r>
        <w:t xml:space="preserve">Generally, unlike SRP trends, sites with positive FN </w:t>
      </w:r>
      <w:r w:rsidR="002C42A1">
        <w:t>values</w:t>
      </w:r>
      <w:r>
        <w:t xml:space="preserve"> in the recent period showed increasing upward trends </w:t>
      </w:r>
      <w:r w:rsidR="002C42A1">
        <w:t xml:space="preserve">since 2015. </w:t>
      </w:r>
      <w:r>
        <w:t xml:space="preserve">These results suggest that </w:t>
      </w:r>
      <w:r w:rsidR="00417D68">
        <w:t xml:space="preserve">the annual </w:t>
      </w:r>
      <w:r>
        <w:t xml:space="preserve">TP delivery has been increasing throughout the basin.  </w:t>
      </w:r>
    </w:p>
    <w:p w14:paraId="71BE9F8C" w14:textId="51456319" w:rsidR="002C42A1" w:rsidRDefault="002C42A1" w:rsidP="002C42A1">
      <w:pPr>
        <w:ind w:firstLine="720"/>
      </w:pPr>
    </w:p>
    <w:p w14:paraId="6DF7A473" w14:textId="35E70B31" w:rsidR="002C42A1" w:rsidRDefault="002C42A1" w:rsidP="002C42A1">
      <w:pPr>
        <w:ind w:firstLine="720"/>
      </w:pPr>
    </w:p>
    <w:p w14:paraId="2351A516" w14:textId="77777777" w:rsidR="002C42A1" w:rsidRDefault="002C42A1" w:rsidP="00F91D78"/>
    <w:p w14:paraId="08CE3B5C" w14:textId="441F7B7C" w:rsidR="005F342D" w:rsidRDefault="005F342D" w:rsidP="00FC32AF">
      <w:pPr>
        <w:pStyle w:val="Caption"/>
      </w:pPr>
      <w:r>
        <w:t xml:space="preserve">Table </w:t>
      </w:r>
      <w:r w:rsidR="00171A81">
        <w:t>5</w:t>
      </w:r>
      <w:r>
        <w:t>: Rate of change in FN TP concentration and flux between 200</w:t>
      </w:r>
      <w:r w:rsidR="00752603">
        <w:t>9</w:t>
      </w:r>
      <w:r>
        <w:t xml:space="preserve"> and 20</w:t>
      </w:r>
      <w:r w:rsidR="00752603">
        <w:t>15</w:t>
      </w:r>
      <w:r>
        <w:t xml:space="preserve"> and between 2015 and 202</w:t>
      </w:r>
      <w:r w:rsidR="00752603">
        <w:t>1</w:t>
      </w:r>
      <w:r>
        <w:t>, in percent per year.</w:t>
      </w:r>
    </w:p>
    <w:tbl>
      <w:tblPr>
        <w:tblStyle w:val="PlainTable2"/>
        <w:tblW w:w="0" w:type="auto"/>
        <w:jc w:val="center"/>
        <w:tblLayout w:type="fixed"/>
        <w:tblLook w:val="04A0" w:firstRow="1" w:lastRow="0" w:firstColumn="1" w:lastColumn="0" w:noHBand="0" w:noVBand="1"/>
      </w:tblPr>
      <w:tblGrid>
        <w:gridCol w:w="1191"/>
        <w:gridCol w:w="1210"/>
        <w:gridCol w:w="1252"/>
        <w:gridCol w:w="1249"/>
        <w:gridCol w:w="1341"/>
      </w:tblGrid>
      <w:tr w:rsidR="005F342D" w:rsidRPr="00BE736F" w14:paraId="792060C9" w14:textId="77777777" w:rsidTr="002D25E0">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14:paraId="6AC7F57C" w14:textId="77777777" w:rsidR="005F342D" w:rsidRPr="002D25E0" w:rsidRDefault="005F342D" w:rsidP="002D25E0">
            <w:pPr>
              <w:spacing w:line="240" w:lineRule="auto"/>
              <w:jc w:val="center"/>
              <w:rPr>
                <w:rFonts w:cs="Times New Roman"/>
                <w:sz w:val="18"/>
                <w:szCs w:val="18"/>
              </w:rPr>
            </w:pPr>
            <w:r w:rsidRPr="002D25E0">
              <w:rPr>
                <w:rFonts w:cs="Times New Roman"/>
                <w:sz w:val="18"/>
                <w:szCs w:val="18"/>
              </w:rPr>
              <w:t>Site</w:t>
            </w:r>
          </w:p>
        </w:tc>
        <w:tc>
          <w:tcPr>
            <w:tcW w:w="2462" w:type="dxa"/>
            <w:gridSpan w:val="2"/>
            <w:vAlign w:val="center"/>
          </w:tcPr>
          <w:p w14:paraId="142197AD" w14:textId="77777777"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concentration</w:t>
            </w:r>
          </w:p>
        </w:tc>
        <w:tc>
          <w:tcPr>
            <w:tcW w:w="2590" w:type="dxa"/>
            <w:gridSpan w:val="2"/>
            <w:vAlign w:val="center"/>
          </w:tcPr>
          <w:p w14:paraId="67C4849D" w14:textId="77777777" w:rsidR="005F342D" w:rsidRPr="002D25E0" w:rsidRDefault="005F342D" w:rsidP="002D25E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sz w:val="18"/>
                <w:szCs w:val="18"/>
              </w:rPr>
              <w:t>FN flux</w:t>
            </w:r>
          </w:p>
        </w:tc>
      </w:tr>
      <w:tr w:rsidR="005F342D" w:rsidRPr="00BE736F" w14:paraId="55D861EB" w14:textId="77777777" w:rsidTr="002D25E0">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14:paraId="6A2DF27B" w14:textId="77777777" w:rsidR="005F342D" w:rsidRPr="002D25E0" w:rsidRDefault="005F342D" w:rsidP="002D25E0">
            <w:pPr>
              <w:spacing w:line="240" w:lineRule="auto"/>
              <w:jc w:val="center"/>
              <w:rPr>
                <w:rFonts w:cs="Times New Roman"/>
                <w:sz w:val="18"/>
                <w:szCs w:val="18"/>
              </w:rPr>
            </w:pPr>
          </w:p>
        </w:tc>
        <w:tc>
          <w:tcPr>
            <w:tcW w:w="1210" w:type="dxa"/>
            <w:vAlign w:val="center"/>
          </w:tcPr>
          <w:p w14:paraId="7FBC5570" w14:textId="584A72A1"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3867D1" w:rsidRPr="002D25E0">
              <w:rPr>
                <w:rFonts w:cs="Times New Roman"/>
                <w:sz w:val="18"/>
                <w:szCs w:val="18"/>
              </w:rPr>
              <w:t>9-2015</w:t>
            </w:r>
          </w:p>
        </w:tc>
        <w:tc>
          <w:tcPr>
            <w:tcW w:w="1252" w:type="dxa"/>
            <w:vAlign w:val="center"/>
          </w:tcPr>
          <w:p w14:paraId="77269415" w14:textId="40516896"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2015-202</w:t>
            </w:r>
            <w:r w:rsidR="003867D1" w:rsidRPr="002D25E0">
              <w:rPr>
                <w:rFonts w:cs="Times New Roman"/>
                <w:sz w:val="18"/>
                <w:szCs w:val="18"/>
              </w:rPr>
              <w:t>1</w:t>
            </w:r>
          </w:p>
        </w:tc>
        <w:tc>
          <w:tcPr>
            <w:tcW w:w="1249" w:type="dxa"/>
            <w:vAlign w:val="center"/>
          </w:tcPr>
          <w:p w14:paraId="1E0BE723" w14:textId="17B57545"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200</w:t>
            </w:r>
            <w:r w:rsidR="003867D1" w:rsidRPr="002D25E0">
              <w:rPr>
                <w:rFonts w:cs="Times New Roman"/>
                <w:sz w:val="18"/>
                <w:szCs w:val="18"/>
              </w:rPr>
              <w:t>9</w:t>
            </w:r>
            <w:r w:rsidRPr="002D25E0">
              <w:rPr>
                <w:rFonts w:cs="Times New Roman"/>
                <w:sz w:val="18"/>
                <w:szCs w:val="18"/>
              </w:rPr>
              <w:t>-2</w:t>
            </w:r>
            <w:r w:rsidR="003867D1" w:rsidRPr="002D25E0">
              <w:rPr>
                <w:rFonts w:cs="Times New Roman"/>
                <w:sz w:val="18"/>
                <w:szCs w:val="18"/>
              </w:rPr>
              <w:t>015</w:t>
            </w:r>
          </w:p>
        </w:tc>
        <w:tc>
          <w:tcPr>
            <w:tcW w:w="1340" w:type="dxa"/>
            <w:vAlign w:val="center"/>
          </w:tcPr>
          <w:p w14:paraId="49AEE6C8" w14:textId="6886CA20" w:rsidR="005F342D" w:rsidRPr="002D25E0" w:rsidRDefault="005F342D"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sz w:val="18"/>
                <w:szCs w:val="18"/>
              </w:rPr>
              <w:t>2015-202</w:t>
            </w:r>
            <w:r w:rsidR="003867D1" w:rsidRPr="002D25E0">
              <w:rPr>
                <w:rFonts w:cs="Times New Roman"/>
                <w:sz w:val="18"/>
                <w:szCs w:val="18"/>
              </w:rPr>
              <w:t>1</w:t>
            </w:r>
          </w:p>
        </w:tc>
      </w:tr>
      <w:tr w:rsidR="00233441" w:rsidRPr="00BE736F" w14:paraId="54E0E7A8" w14:textId="77777777" w:rsidTr="002D25E0">
        <w:trPr>
          <w:trHeight w:val="295"/>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9315759" w14:textId="7F24533B" w:rsidR="00233441" w:rsidRPr="002D25E0" w:rsidRDefault="00233441" w:rsidP="002D25E0">
            <w:pPr>
              <w:spacing w:line="240" w:lineRule="auto"/>
              <w:rPr>
                <w:rFonts w:cs="Times New Roman"/>
                <w:sz w:val="18"/>
                <w:szCs w:val="18"/>
              </w:rPr>
            </w:pPr>
            <w:r w:rsidRPr="002D25E0">
              <w:rPr>
                <w:rFonts w:cs="Times New Roman"/>
                <w:sz w:val="18"/>
                <w:szCs w:val="18"/>
              </w:rPr>
              <w:t>Maumee</w:t>
            </w:r>
          </w:p>
        </w:tc>
        <w:tc>
          <w:tcPr>
            <w:tcW w:w="1210" w:type="dxa"/>
            <w:vAlign w:val="center"/>
          </w:tcPr>
          <w:p w14:paraId="24F0EF83" w14:textId="40C9CB8D"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-2</w:t>
            </w:r>
          </w:p>
        </w:tc>
        <w:tc>
          <w:tcPr>
            <w:tcW w:w="1252" w:type="dxa"/>
            <w:vAlign w:val="center"/>
          </w:tcPr>
          <w:p w14:paraId="4A2149EF" w14:textId="3071738B"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7</w:t>
            </w:r>
          </w:p>
        </w:tc>
        <w:tc>
          <w:tcPr>
            <w:tcW w:w="1249" w:type="dxa"/>
            <w:vAlign w:val="center"/>
          </w:tcPr>
          <w:p w14:paraId="7A1E2B64" w14:textId="3E08A21C"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w:t>
            </w:r>
          </w:p>
        </w:tc>
        <w:tc>
          <w:tcPr>
            <w:tcW w:w="1340" w:type="dxa"/>
            <w:vAlign w:val="center"/>
          </w:tcPr>
          <w:p w14:paraId="727385CC" w14:textId="1E41B4E1"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8</w:t>
            </w:r>
          </w:p>
        </w:tc>
      </w:tr>
      <w:tr w:rsidR="00233441" w:rsidRPr="00BE736F" w14:paraId="3229C6BE" w14:textId="77777777" w:rsidTr="002D25E0">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323FE4F" w14:textId="178BC9CD" w:rsidR="00233441" w:rsidRPr="002D25E0" w:rsidRDefault="002D25E0" w:rsidP="002D25E0">
            <w:pPr>
              <w:spacing w:line="240" w:lineRule="auto"/>
              <w:rPr>
                <w:rFonts w:cs="Times New Roman"/>
                <w:sz w:val="18"/>
                <w:szCs w:val="18"/>
              </w:rPr>
            </w:pPr>
            <w:r w:rsidRPr="002D25E0">
              <w:rPr>
                <w:rFonts w:cs="Times New Roman"/>
                <w:sz w:val="18"/>
                <w:szCs w:val="18"/>
              </w:rPr>
              <w:t xml:space="preserve">   </w:t>
            </w:r>
            <w:r w:rsidR="00233441" w:rsidRPr="002D25E0">
              <w:rPr>
                <w:rFonts w:cs="Times New Roman"/>
                <w:sz w:val="18"/>
                <w:szCs w:val="18"/>
              </w:rPr>
              <w:t>Tiffin</w:t>
            </w:r>
          </w:p>
        </w:tc>
        <w:tc>
          <w:tcPr>
            <w:tcW w:w="1210" w:type="dxa"/>
            <w:vAlign w:val="center"/>
          </w:tcPr>
          <w:p w14:paraId="26DFF438" w14:textId="56F19C8C"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10</w:t>
            </w:r>
          </w:p>
        </w:tc>
        <w:tc>
          <w:tcPr>
            <w:tcW w:w="1252" w:type="dxa"/>
            <w:vAlign w:val="center"/>
          </w:tcPr>
          <w:p w14:paraId="78A8C1D0" w14:textId="04BF8747"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-4</w:t>
            </w:r>
          </w:p>
        </w:tc>
        <w:tc>
          <w:tcPr>
            <w:tcW w:w="1249" w:type="dxa"/>
            <w:vAlign w:val="center"/>
          </w:tcPr>
          <w:p w14:paraId="7D202E9D" w14:textId="58797183"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12</w:t>
            </w:r>
          </w:p>
        </w:tc>
        <w:tc>
          <w:tcPr>
            <w:tcW w:w="1340" w:type="dxa"/>
            <w:vAlign w:val="center"/>
          </w:tcPr>
          <w:p w14:paraId="56A92629" w14:textId="3E4ADF53"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3</w:t>
            </w:r>
          </w:p>
        </w:tc>
      </w:tr>
      <w:tr w:rsidR="00233441" w:rsidRPr="00BE736F" w14:paraId="3F70C7E3" w14:textId="77777777" w:rsidTr="002D25E0">
        <w:trPr>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07BA2452" w14:textId="4A274327" w:rsidR="00233441" w:rsidRPr="002D25E0" w:rsidRDefault="002D25E0" w:rsidP="002D25E0">
            <w:pPr>
              <w:spacing w:line="240" w:lineRule="auto"/>
              <w:rPr>
                <w:rFonts w:cs="Times New Roman"/>
                <w:sz w:val="18"/>
                <w:szCs w:val="18"/>
              </w:rPr>
            </w:pPr>
            <w:r w:rsidRPr="002D25E0">
              <w:rPr>
                <w:rFonts w:cs="Times New Roman"/>
                <w:sz w:val="18"/>
                <w:szCs w:val="18"/>
              </w:rPr>
              <w:t xml:space="preserve">   </w:t>
            </w:r>
            <w:r w:rsidR="00233441" w:rsidRPr="002D25E0">
              <w:rPr>
                <w:rFonts w:cs="Times New Roman"/>
                <w:sz w:val="18"/>
                <w:szCs w:val="18"/>
              </w:rPr>
              <w:t>Blanchard</w:t>
            </w:r>
          </w:p>
        </w:tc>
        <w:tc>
          <w:tcPr>
            <w:tcW w:w="1210" w:type="dxa"/>
            <w:vAlign w:val="center"/>
          </w:tcPr>
          <w:p w14:paraId="0B10013C" w14:textId="275A1D8A"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31</w:t>
            </w:r>
          </w:p>
        </w:tc>
        <w:tc>
          <w:tcPr>
            <w:tcW w:w="1252" w:type="dxa"/>
            <w:vAlign w:val="center"/>
          </w:tcPr>
          <w:p w14:paraId="000C0B0E" w14:textId="190AB279"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16</w:t>
            </w:r>
          </w:p>
        </w:tc>
        <w:tc>
          <w:tcPr>
            <w:tcW w:w="1249" w:type="dxa"/>
            <w:vAlign w:val="center"/>
          </w:tcPr>
          <w:p w14:paraId="6910CAA9" w14:textId="686E72CE"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5</w:t>
            </w:r>
          </w:p>
        </w:tc>
        <w:tc>
          <w:tcPr>
            <w:tcW w:w="1340" w:type="dxa"/>
            <w:vAlign w:val="center"/>
          </w:tcPr>
          <w:p w14:paraId="443BA68A" w14:textId="500758EA"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12</w:t>
            </w:r>
          </w:p>
        </w:tc>
      </w:tr>
      <w:tr w:rsidR="00233441" w:rsidRPr="00BE736F" w14:paraId="3ED22086" w14:textId="77777777" w:rsidTr="002D25E0">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4B11B71" w14:textId="1583C8CA" w:rsidR="00233441" w:rsidRPr="002D25E0" w:rsidRDefault="00233441" w:rsidP="002D25E0">
            <w:pPr>
              <w:spacing w:line="240" w:lineRule="auto"/>
              <w:rPr>
                <w:rFonts w:cs="Times New Roman"/>
                <w:sz w:val="18"/>
                <w:szCs w:val="18"/>
              </w:rPr>
            </w:pPr>
            <w:r w:rsidRPr="002D25E0">
              <w:rPr>
                <w:rFonts w:cs="Times New Roman"/>
                <w:sz w:val="18"/>
                <w:szCs w:val="18"/>
              </w:rPr>
              <w:t>Sandusky</w:t>
            </w:r>
          </w:p>
        </w:tc>
        <w:tc>
          <w:tcPr>
            <w:tcW w:w="1210" w:type="dxa"/>
            <w:vAlign w:val="center"/>
          </w:tcPr>
          <w:p w14:paraId="79769EEE" w14:textId="574AF19B"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-2</w:t>
            </w:r>
          </w:p>
        </w:tc>
        <w:tc>
          <w:tcPr>
            <w:tcW w:w="1252" w:type="dxa"/>
            <w:vAlign w:val="center"/>
          </w:tcPr>
          <w:p w14:paraId="56BC0B58" w14:textId="45EB6802"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23</w:t>
            </w:r>
          </w:p>
        </w:tc>
        <w:tc>
          <w:tcPr>
            <w:tcW w:w="1249" w:type="dxa"/>
            <w:vAlign w:val="center"/>
          </w:tcPr>
          <w:p w14:paraId="070C049E" w14:textId="6A7E8A86"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8</w:t>
            </w:r>
          </w:p>
        </w:tc>
        <w:tc>
          <w:tcPr>
            <w:tcW w:w="1340" w:type="dxa"/>
            <w:vAlign w:val="center"/>
          </w:tcPr>
          <w:p w14:paraId="7319C61C" w14:textId="04FCE7DD"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19</w:t>
            </w:r>
          </w:p>
        </w:tc>
      </w:tr>
      <w:tr w:rsidR="00233441" w:rsidRPr="00BE736F" w14:paraId="1915F4D7" w14:textId="77777777" w:rsidTr="002D25E0">
        <w:trPr>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1E36945E" w14:textId="55F1FEBB" w:rsidR="00233441" w:rsidRPr="002D25E0" w:rsidRDefault="002D25E0" w:rsidP="002D25E0">
            <w:pPr>
              <w:spacing w:line="240" w:lineRule="auto"/>
              <w:rPr>
                <w:rFonts w:cs="Times New Roman"/>
                <w:sz w:val="18"/>
                <w:szCs w:val="18"/>
              </w:rPr>
            </w:pPr>
            <w:r w:rsidRPr="002D25E0">
              <w:rPr>
                <w:rFonts w:cs="Times New Roman"/>
                <w:sz w:val="18"/>
                <w:szCs w:val="18"/>
              </w:rPr>
              <w:t xml:space="preserve">   </w:t>
            </w:r>
            <w:r w:rsidR="00233441" w:rsidRPr="002D25E0">
              <w:rPr>
                <w:rFonts w:cs="Times New Roman"/>
                <w:sz w:val="18"/>
                <w:szCs w:val="18"/>
              </w:rPr>
              <w:t>Honey</w:t>
            </w:r>
          </w:p>
        </w:tc>
        <w:tc>
          <w:tcPr>
            <w:tcW w:w="1210" w:type="dxa"/>
            <w:vAlign w:val="center"/>
          </w:tcPr>
          <w:p w14:paraId="2EE68BE7" w14:textId="622C6ED6"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3</w:t>
            </w:r>
          </w:p>
        </w:tc>
        <w:tc>
          <w:tcPr>
            <w:tcW w:w="1252" w:type="dxa"/>
            <w:vAlign w:val="center"/>
          </w:tcPr>
          <w:p w14:paraId="5D91E7C5" w14:textId="1D028E2B"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8</w:t>
            </w:r>
          </w:p>
        </w:tc>
        <w:tc>
          <w:tcPr>
            <w:tcW w:w="1249" w:type="dxa"/>
            <w:vAlign w:val="center"/>
          </w:tcPr>
          <w:p w14:paraId="41755C04" w14:textId="61798E9A"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10</w:t>
            </w:r>
          </w:p>
        </w:tc>
        <w:tc>
          <w:tcPr>
            <w:tcW w:w="1340" w:type="dxa"/>
            <w:vAlign w:val="center"/>
          </w:tcPr>
          <w:p w14:paraId="4E57CB10" w14:textId="0C7DCD2F"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2D25E0">
              <w:rPr>
                <w:rFonts w:cs="Times New Roman"/>
                <w:color w:val="000000"/>
                <w:sz w:val="18"/>
                <w:szCs w:val="18"/>
              </w:rPr>
              <w:t>0</w:t>
            </w:r>
          </w:p>
        </w:tc>
      </w:tr>
      <w:tr w:rsidR="00233441" w:rsidRPr="00BE736F" w14:paraId="699DE2B9" w14:textId="77777777" w:rsidTr="002D25E0">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A5E8F47" w14:textId="63578EC1" w:rsidR="00233441" w:rsidRPr="002D25E0" w:rsidRDefault="00233441" w:rsidP="002D25E0">
            <w:pPr>
              <w:spacing w:line="240" w:lineRule="auto"/>
              <w:rPr>
                <w:rFonts w:cs="Times New Roman"/>
                <w:sz w:val="18"/>
                <w:szCs w:val="18"/>
              </w:rPr>
            </w:pPr>
            <w:r w:rsidRPr="002D25E0">
              <w:rPr>
                <w:rFonts w:cs="Times New Roman"/>
                <w:sz w:val="18"/>
                <w:szCs w:val="18"/>
              </w:rPr>
              <w:t>Raisin</w:t>
            </w:r>
          </w:p>
        </w:tc>
        <w:tc>
          <w:tcPr>
            <w:tcW w:w="1210" w:type="dxa"/>
            <w:vAlign w:val="center"/>
          </w:tcPr>
          <w:p w14:paraId="18AB9952" w14:textId="207C9D72"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23</w:t>
            </w:r>
          </w:p>
        </w:tc>
        <w:tc>
          <w:tcPr>
            <w:tcW w:w="1252" w:type="dxa"/>
            <w:vAlign w:val="center"/>
          </w:tcPr>
          <w:p w14:paraId="0A25A274" w14:textId="0EF40B7F"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9</w:t>
            </w:r>
          </w:p>
        </w:tc>
        <w:tc>
          <w:tcPr>
            <w:tcW w:w="1249" w:type="dxa"/>
            <w:vAlign w:val="center"/>
          </w:tcPr>
          <w:p w14:paraId="60D5F070" w14:textId="1C326355"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31</w:t>
            </w:r>
          </w:p>
        </w:tc>
        <w:tc>
          <w:tcPr>
            <w:tcW w:w="1340" w:type="dxa"/>
            <w:vAlign w:val="center"/>
          </w:tcPr>
          <w:p w14:paraId="0A75F0A7" w14:textId="107FFC91" w:rsidR="00233441" w:rsidRPr="002D25E0" w:rsidRDefault="00233441" w:rsidP="002D25E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D25E0">
              <w:rPr>
                <w:rFonts w:cs="Times New Roman"/>
                <w:color w:val="000000"/>
                <w:sz w:val="18"/>
                <w:szCs w:val="18"/>
              </w:rPr>
              <w:t>3</w:t>
            </w:r>
          </w:p>
        </w:tc>
      </w:tr>
      <w:tr w:rsidR="00233441" w:rsidRPr="00BE736F" w14:paraId="2E6E6490" w14:textId="77777777" w:rsidTr="002D25E0">
        <w:trPr>
          <w:trHeight w:val="307"/>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86285DD" w14:textId="61446ED3" w:rsidR="00233441" w:rsidRPr="002D25E0" w:rsidRDefault="00233441" w:rsidP="002D25E0">
            <w:pPr>
              <w:spacing w:line="240" w:lineRule="auto"/>
              <w:jc w:val="center"/>
              <w:rPr>
                <w:rFonts w:cs="Times New Roman"/>
                <w:sz w:val="18"/>
                <w:szCs w:val="18"/>
              </w:rPr>
            </w:pPr>
            <w:r w:rsidRPr="002D25E0">
              <w:rPr>
                <w:rFonts w:cs="Times New Roman"/>
                <w:sz w:val="18"/>
                <w:szCs w:val="18"/>
              </w:rPr>
              <w:t>Average</w:t>
            </w:r>
          </w:p>
        </w:tc>
        <w:tc>
          <w:tcPr>
            <w:tcW w:w="1210" w:type="dxa"/>
            <w:vAlign w:val="center"/>
          </w:tcPr>
          <w:p w14:paraId="76B6667E" w14:textId="048DC477"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10</w:t>
            </w:r>
          </w:p>
        </w:tc>
        <w:tc>
          <w:tcPr>
            <w:tcW w:w="1252" w:type="dxa"/>
            <w:vAlign w:val="center"/>
          </w:tcPr>
          <w:p w14:paraId="4E86EFAD" w14:textId="73AF1D3D"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10</w:t>
            </w:r>
          </w:p>
        </w:tc>
        <w:tc>
          <w:tcPr>
            <w:tcW w:w="1249" w:type="dxa"/>
            <w:vAlign w:val="center"/>
          </w:tcPr>
          <w:p w14:paraId="29A59C16" w14:textId="78064154"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11</w:t>
            </w:r>
          </w:p>
        </w:tc>
        <w:tc>
          <w:tcPr>
            <w:tcW w:w="1340" w:type="dxa"/>
            <w:vAlign w:val="center"/>
          </w:tcPr>
          <w:p w14:paraId="5161C278" w14:textId="23051C91" w:rsidR="00233441" w:rsidRPr="002D25E0" w:rsidRDefault="00233441" w:rsidP="002D25E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18"/>
                <w:szCs w:val="18"/>
              </w:rPr>
            </w:pPr>
            <w:r w:rsidRPr="002D25E0">
              <w:rPr>
                <w:rFonts w:cs="Times New Roman"/>
                <w:color w:val="000000"/>
                <w:sz w:val="18"/>
                <w:szCs w:val="18"/>
              </w:rPr>
              <w:t>7</w:t>
            </w:r>
          </w:p>
        </w:tc>
      </w:tr>
    </w:tbl>
    <w:p w14:paraId="32377E76" w14:textId="77777777" w:rsidR="00171A81" w:rsidRDefault="00171A81" w:rsidP="008A7740"/>
    <w:p w14:paraId="3204B010" w14:textId="113435E0" w:rsidR="00037B5E" w:rsidRPr="00037B5E" w:rsidRDefault="00BF765F" w:rsidP="00037B5E">
      <w:pPr>
        <w:pStyle w:val="Heading2"/>
      </w:pPr>
      <w:r>
        <w:t>Seasonal</w:t>
      </w:r>
      <w:r w:rsidR="008A7740">
        <w:t xml:space="preserve"> d</w:t>
      </w:r>
      <w:r w:rsidR="00BE47A0">
        <w:t xml:space="preserve">ynamics </w:t>
      </w:r>
      <w:r w:rsidR="00552A1A">
        <w:t xml:space="preserve">in </w:t>
      </w:r>
      <w:r w:rsidR="008A7740">
        <w:t>P trends</w:t>
      </w:r>
    </w:p>
    <w:p w14:paraId="6E964FBE" w14:textId="57D74876" w:rsidR="00D9268F" w:rsidRDefault="00552A1A" w:rsidP="00552A1A">
      <w:pPr>
        <w:pStyle w:val="Heading3"/>
      </w:pPr>
      <w:r>
        <w:t>W</w:t>
      </w:r>
      <w:r w:rsidR="00D9268F">
        <w:t>inter</w:t>
      </w:r>
      <w:r>
        <w:t xml:space="preserve"> (Dec-Feb)</w:t>
      </w:r>
      <w:r w:rsidR="00D9268F">
        <w:t xml:space="preserve"> P dynamics in WLEB streams and rivers</w:t>
      </w:r>
    </w:p>
    <w:p w14:paraId="487C853E" w14:textId="2C6A762A" w:rsidR="00F40B39" w:rsidRDefault="007913DC" w:rsidP="00F40B39">
      <w:pPr>
        <w:ind w:firstLine="720"/>
      </w:pPr>
      <w:r>
        <w:t xml:space="preserve">The P fluxes released during the winter season ranged from 29 to 36% of the annual SRP FN flux and </w:t>
      </w:r>
      <w:r w:rsidR="00125210">
        <w:t>29</w:t>
      </w:r>
      <w:r>
        <w:t xml:space="preserve"> to 3</w:t>
      </w:r>
      <w:r w:rsidR="00125210">
        <w:t>4</w:t>
      </w:r>
      <w:r>
        <w:t xml:space="preserve">% of the annual TP flux (Table </w:t>
      </w:r>
      <w:r w:rsidR="00125210">
        <w:t>6</w:t>
      </w:r>
      <w:r>
        <w:t xml:space="preserve">). </w:t>
      </w:r>
      <w:r w:rsidRPr="00125210">
        <w:t>These values make the winter the season with the second largest amount of P delivery to downstream waterbodies.</w:t>
      </w:r>
      <w:r w:rsidR="002133D0">
        <w:t xml:space="preserve"> </w:t>
      </w:r>
      <w:r>
        <w:t xml:space="preserve"> </w:t>
      </w:r>
      <w:r w:rsidR="002133D0">
        <w:t xml:space="preserve">At five of the six sites, the percent changes in SRP winter fluxes were lower </w:t>
      </w:r>
      <w:r w:rsidR="00C06CFA">
        <w:t>for the period after 2015</w:t>
      </w:r>
      <w:r w:rsidR="002133D0">
        <w:t xml:space="preserve"> (Table 6)</w:t>
      </w:r>
      <w:r w:rsidR="00C06CFA">
        <w:t xml:space="preserve">. Furthermore, at four of these five sites, the percent changes in SRP fluxes were negative since 2015. The one exception site was Sandusky, which had a 6% change in FN SRP fluxes in both periods. </w:t>
      </w:r>
      <w:r w:rsidR="00F40B39">
        <w:t>Unlike SRP, the relationship between percent changes in TP FN fluxes for the two periods were variable. Three sites showed a decrease in the rate of TP fluxes, meanwhile three sites showed an increase (Table 6). Additionally, no sites showed a reduction in TP flux in either period</w:t>
      </w:r>
      <w:r w:rsidR="00E24710">
        <w:t xml:space="preserve">. </w:t>
      </w:r>
      <w:r w:rsidR="00F40B39">
        <w:t>Furthermore, the two largest sites, Maumee and Sandusky, both showed increasing FN TP fluxes.</w:t>
      </w:r>
    </w:p>
    <w:p w14:paraId="768ED6AD" w14:textId="1CE545E2" w:rsidR="00E24710" w:rsidRPr="00A3285A" w:rsidRDefault="00E24710" w:rsidP="00F40B39">
      <w:pPr>
        <w:ind w:firstLine="720"/>
      </w:pPr>
      <w:r>
        <w:t xml:space="preserve">Overall, the winter FN trends for SRP </w:t>
      </w:r>
      <w:r w:rsidR="00F40B39">
        <w:t>showed</w:t>
      </w:r>
      <w:r>
        <w:t xml:space="preserve"> widespread weakening of upward trends</w:t>
      </w:r>
      <w:r w:rsidR="00F40B39">
        <w:t xml:space="preserve"> and transitions</w:t>
      </w:r>
      <w:r>
        <w:t xml:space="preserve"> to downward trends, </w:t>
      </w:r>
      <w:r w:rsidR="00F40B39">
        <w:t xml:space="preserve">which </w:t>
      </w:r>
      <w:r>
        <w:t>indicate that current management practices may be reducing SRP losses during the winter seasons</w:t>
      </w:r>
      <w:r w:rsidR="00F40B39">
        <w:t>. Meanwhile,</w:t>
      </w:r>
      <w:r>
        <w:t xml:space="preserve"> the strengthening upward trends in winter TP fluxes in large watersheds</w:t>
      </w:r>
      <w:r w:rsidR="007913DC">
        <w:t xml:space="preserve"> </w:t>
      </w:r>
      <w:r>
        <w:t xml:space="preserve">suggest that </w:t>
      </w:r>
      <w:r w:rsidR="00BF4989">
        <w:t>winter</w:t>
      </w:r>
      <w:r w:rsidR="007913DC">
        <w:t xml:space="preserve"> TP losses have been increasing in the basin</w:t>
      </w:r>
      <w:r w:rsidR="00F40B39">
        <w:t xml:space="preserve"> since 2015.</w:t>
      </w:r>
    </w:p>
    <w:p w14:paraId="2037A5D0" w14:textId="139AC04F" w:rsidR="00A3285A" w:rsidRPr="00A3285A" w:rsidRDefault="00B63652" w:rsidP="00A3285A">
      <w:pPr>
        <w:pStyle w:val="Caption"/>
      </w:pPr>
      <w:r>
        <w:t xml:space="preserve">Table </w:t>
      </w:r>
      <w:r w:rsidR="00125210">
        <w:t>6</w:t>
      </w:r>
      <w:r>
        <w:t>: Overview of SRP and TP FN fluxes during the winter season. The winter season lasted from 1 Dec through 28/29 Feb. FN flux trends are reported as the rate of percent change (%) over the period of interest. The percentage of annual FN Flux is the mean percentage of the FN flux released during the winter season from 2008-2022.</w:t>
      </w:r>
    </w:p>
    <w:tbl>
      <w:tblPr>
        <w:tblStyle w:val="PlainTable2"/>
        <w:tblW w:w="0" w:type="auto"/>
        <w:jc w:val="center"/>
        <w:tblLook w:val="04A0" w:firstRow="1" w:lastRow="0" w:firstColumn="1" w:lastColumn="0" w:noHBand="0" w:noVBand="1"/>
      </w:tblPr>
      <w:tblGrid>
        <w:gridCol w:w="1197"/>
        <w:gridCol w:w="1390"/>
        <w:gridCol w:w="1215"/>
        <w:gridCol w:w="968"/>
        <w:gridCol w:w="1339"/>
        <w:gridCol w:w="993"/>
        <w:gridCol w:w="997"/>
      </w:tblGrid>
      <w:tr w:rsidR="00037B5E" w:rsidRPr="00037B5E" w14:paraId="1CF4A1A3" w14:textId="2564EECB" w:rsidTr="00C43D60">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Merge w:val="restart"/>
            <w:vAlign w:val="center"/>
          </w:tcPr>
          <w:p w14:paraId="41C29193" w14:textId="2598B1E6" w:rsidR="00037B5E" w:rsidRPr="00037B5E" w:rsidRDefault="00037B5E" w:rsidP="00C43D60">
            <w:pPr>
              <w:spacing w:line="240" w:lineRule="auto"/>
              <w:jc w:val="center"/>
              <w:rPr>
                <w:rFonts w:cs="Times New Roman"/>
                <w:sz w:val="16"/>
                <w:szCs w:val="16"/>
              </w:rPr>
            </w:pPr>
            <w:r w:rsidRPr="00037B5E">
              <w:rPr>
                <w:rFonts w:cs="Times New Roman"/>
                <w:sz w:val="16"/>
                <w:szCs w:val="16"/>
              </w:rPr>
              <w:t>Sites</w:t>
            </w:r>
          </w:p>
        </w:tc>
        <w:tc>
          <w:tcPr>
            <w:tcW w:w="3573" w:type="dxa"/>
            <w:gridSpan w:val="3"/>
            <w:vAlign w:val="center"/>
          </w:tcPr>
          <w:p w14:paraId="47E36104" w14:textId="55663760"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SRP</w:t>
            </w:r>
          </w:p>
        </w:tc>
        <w:tc>
          <w:tcPr>
            <w:tcW w:w="3329" w:type="dxa"/>
            <w:gridSpan w:val="3"/>
            <w:vAlign w:val="center"/>
          </w:tcPr>
          <w:p w14:paraId="2C29B0CC" w14:textId="7134AB6E"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TP</w:t>
            </w:r>
          </w:p>
        </w:tc>
      </w:tr>
      <w:tr w:rsidR="00037B5E" w:rsidRPr="00037B5E" w14:paraId="008C2173" w14:textId="173FF856" w:rsidTr="00C43D60">
        <w:trPr>
          <w:cnfStyle w:val="000000100000" w:firstRow="0" w:lastRow="0" w:firstColumn="0" w:lastColumn="0" w:oddVBand="0" w:evenVBand="0" w:oddHBand="1" w:evenHBand="0" w:firstRowFirstColumn="0" w:firstRowLastColumn="0" w:lastRowFirstColumn="0" w:lastRowLastColumn="0"/>
          <w:trHeight w:val="437"/>
          <w:jc w:val="center"/>
        </w:trPr>
        <w:tc>
          <w:tcPr>
            <w:cnfStyle w:val="001000000000" w:firstRow="0" w:lastRow="0" w:firstColumn="1" w:lastColumn="0" w:oddVBand="0" w:evenVBand="0" w:oddHBand="0" w:evenHBand="0" w:firstRowFirstColumn="0" w:firstRowLastColumn="0" w:lastRowFirstColumn="0" w:lastRowLastColumn="0"/>
            <w:tcW w:w="1197" w:type="dxa"/>
            <w:vMerge/>
            <w:vAlign w:val="center"/>
          </w:tcPr>
          <w:p w14:paraId="12044693" w14:textId="1FA7C433" w:rsidR="00037B5E" w:rsidRPr="00037B5E" w:rsidRDefault="00037B5E" w:rsidP="00C43D60">
            <w:pPr>
              <w:spacing w:line="240" w:lineRule="auto"/>
              <w:jc w:val="center"/>
              <w:rPr>
                <w:rFonts w:cs="Times New Roman"/>
                <w:sz w:val="16"/>
                <w:szCs w:val="16"/>
              </w:rPr>
            </w:pPr>
          </w:p>
        </w:tc>
        <w:tc>
          <w:tcPr>
            <w:tcW w:w="1390" w:type="dxa"/>
            <w:vMerge w:val="restart"/>
            <w:vAlign w:val="center"/>
          </w:tcPr>
          <w:p w14:paraId="49142FFF" w14:textId="38F57E7C"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183" w:type="dxa"/>
            <w:gridSpan w:val="2"/>
            <w:vAlign w:val="center"/>
          </w:tcPr>
          <w:p w14:paraId="69D70E25" w14:textId="7CDE7E0A"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c>
          <w:tcPr>
            <w:tcW w:w="1339" w:type="dxa"/>
            <w:vMerge w:val="restart"/>
            <w:vAlign w:val="center"/>
          </w:tcPr>
          <w:p w14:paraId="7A469341" w14:textId="30A246A5"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1990" w:type="dxa"/>
            <w:gridSpan w:val="2"/>
            <w:vAlign w:val="center"/>
          </w:tcPr>
          <w:p w14:paraId="0C26A907" w14:textId="2584EEA1"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r>
      <w:tr w:rsidR="00037B5E" w:rsidRPr="00037B5E" w14:paraId="238D7BAA" w14:textId="726E95C8" w:rsidTr="00C43D60">
        <w:trPr>
          <w:trHeight w:val="318"/>
          <w:jc w:val="center"/>
        </w:trPr>
        <w:tc>
          <w:tcPr>
            <w:cnfStyle w:val="001000000000" w:firstRow="0" w:lastRow="0" w:firstColumn="1" w:lastColumn="0" w:oddVBand="0" w:evenVBand="0" w:oddHBand="0" w:evenHBand="0" w:firstRowFirstColumn="0" w:firstRowLastColumn="0" w:lastRowFirstColumn="0" w:lastRowLastColumn="0"/>
            <w:tcW w:w="1197" w:type="dxa"/>
            <w:vMerge/>
            <w:vAlign w:val="center"/>
          </w:tcPr>
          <w:p w14:paraId="1AEBDD92" w14:textId="34DA0572" w:rsidR="00037B5E" w:rsidRPr="00037B5E" w:rsidRDefault="00037B5E" w:rsidP="00C43D60">
            <w:pPr>
              <w:spacing w:line="240" w:lineRule="auto"/>
              <w:jc w:val="center"/>
              <w:rPr>
                <w:rFonts w:cs="Times New Roman"/>
                <w:sz w:val="16"/>
                <w:szCs w:val="16"/>
              </w:rPr>
            </w:pPr>
          </w:p>
        </w:tc>
        <w:tc>
          <w:tcPr>
            <w:tcW w:w="1390" w:type="dxa"/>
            <w:vMerge/>
            <w:vAlign w:val="center"/>
          </w:tcPr>
          <w:p w14:paraId="659FE4A2"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15" w:type="dxa"/>
            <w:vAlign w:val="center"/>
          </w:tcPr>
          <w:p w14:paraId="421301D7" w14:textId="7038DFB0"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968" w:type="dxa"/>
            <w:vAlign w:val="center"/>
          </w:tcPr>
          <w:p w14:paraId="6E3A7550" w14:textId="040ED17C"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w:t>
            </w:r>
            <w:r w:rsidR="00233441">
              <w:rPr>
                <w:rFonts w:cs="Times New Roman"/>
                <w:sz w:val="16"/>
                <w:szCs w:val="16"/>
              </w:rPr>
              <w:t>1</w:t>
            </w:r>
          </w:p>
        </w:tc>
        <w:tc>
          <w:tcPr>
            <w:tcW w:w="1339" w:type="dxa"/>
            <w:vMerge/>
            <w:vAlign w:val="center"/>
          </w:tcPr>
          <w:p w14:paraId="53B36098"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93" w:type="dxa"/>
            <w:vAlign w:val="center"/>
          </w:tcPr>
          <w:p w14:paraId="48CD7BD8" w14:textId="0AB5D66F"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997" w:type="dxa"/>
            <w:vAlign w:val="center"/>
          </w:tcPr>
          <w:p w14:paraId="17750AE0" w14:textId="2478EB83"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w:t>
            </w:r>
            <w:r w:rsidR="00233441">
              <w:rPr>
                <w:rFonts w:cs="Times New Roman"/>
                <w:sz w:val="16"/>
                <w:szCs w:val="16"/>
              </w:rPr>
              <w:t>1</w:t>
            </w:r>
          </w:p>
        </w:tc>
      </w:tr>
      <w:tr w:rsidR="00233441" w:rsidRPr="00037B5E" w14:paraId="0075C798" w14:textId="42A65E3C"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05CDF770" w14:textId="574830EB" w:rsidR="00233441" w:rsidRPr="00037B5E" w:rsidRDefault="00233441" w:rsidP="00233441">
            <w:pPr>
              <w:spacing w:line="240" w:lineRule="auto"/>
              <w:rPr>
                <w:rFonts w:cs="Times New Roman"/>
                <w:sz w:val="16"/>
                <w:szCs w:val="16"/>
              </w:rPr>
            </w:pPr>
            <w:r w:rsidRPr="00E84107">
              <w:rPr>
                <w:rFonts w:cs="Times New Roman"/>
                <w:sz w:val="16"/>
                <w:szCs w:val="16"/>
              </w:rPr>
              <w:t>Maumee</w:t>
            </w:r>
          </w:p>
        </w:tc>
        <w:tc>
          <w:tcPr>
            <w:tcW w:w="1390" w:type="dxa"/>
            <w:vAlign w:val="center"/>
          </w:tcPr>
          <w:p w14:paraId="499A2C86" w14:textId="23375E7D"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037B5E">
              <w:rPr>
                <w:rFonts w:cs="Times New Roman"/>
                <w:color w:val="000000"/>
                <w:sz w:val="16"/>
                <w:szCs w:val="16"/>
              </w:rPr>
              <w:t>3</w:t>
            </w:r>
            <w:r w:rsidR="0075141E">
              <w:rPr>
                <w:rFonts w:cs="Times New Roman"/>
                <w:color w:val="000000"/>
                <w:sz w:val="16"/>
                <w:szCs w:val="16"/>
              </w:rPr>
              <w:t>5</w:t>
            </w:r>
          </w:p>
        </w:tc>
        <w:tc>
          <w:tcPr>
            <w:tcW w:w="1215" w:type="dxa"/>
            <w:vAlign w:val="center"/>
          </w:tcPr>
          <w:p w14:paraId="3AAAEA4B" w14:textId="04B0D287"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2</w:t>
            </w:r>
          </w:p>
        </w:tc>
        <w:tc>
          <w:tcPr>
            <w:tcW w:w="968" w:type="dxa"/>
            <w:vAlign w:val="center"/>
          </w:tcPr>
          <w:p w14:paraId="49EB2260" w14:textId="48B35CBB"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c>
          <w:tcPr>
            <w:tcW w:w="1339" w:type="dxa"/>
            <w:vAlign w:val="center"/>
          </w:tcPr>
          <w:p w14:paraId="5C92A2A0" w14:textId="1E28228E"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3</w:t>
            </w:r>
            <w:r w:rsidR="00383FFE">
              <w:rPr>
                <w:rFonts w:cs="Times New Roman"/>
                <w:sz w:val="16"/>
                <w:szCs w:val="16"/>
              </w:rPr>
              <w:t>3</w:t>
            </w:r>
          </w:p>
        </w:tc>
        <w:tc>
          <w:tcPr>
            <w:tcW w:w="993" w:type="dxa"/>
            <w:vAlign w:val="center"/>
          </w:tcPr>
          <w:p w14:paraId="317AF5C4" w14:textId="597EE37F"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w:t>
            </w:r>
          </w:p>
        </w:tc>
        <w:tc>
          <w:tcPr>
            <w:tcW w:w="997" w:type="dxa"/>
            <w:vAlign w:val="center"/>
          </w:tcPr>
          <w:p w14:paraId="037A0C1A" w14:textId="34F8FFCE"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r>
      <w:tr w:rsidR="00233441" w:rsidRPr="00037B5E" w14:paraId="70515936" w14:textId="6397FF11"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4176C22C" w14:textId="5A51F429"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Tiffin</w:t>
            </w:r>
          </w:p>
        </w:tc>
        <w:tc>
          <w:tcPr>
            <w:tcW w:w="1390" w:type="dxa"/>
            <w:vAlign w:val="center"/>
          </w:tcPr>
          <w:p w14:paraId="0403F56B" w14:textId="4C9B0E4B"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75141E">
              <w:rPr>
                <w:rFonts w:cs="Times New Roman"/>
                <w:color w:val="000000"/>
                <w:sz w:val="16"/>
                <w:szCs w:val="16"/>
              </w:rPr>
              <w:t>2</w:t>
            </w:r>
          </w:p>
        </w:tc>
        <w:tc>
          <w:tcPr>
            <w:tcW w:w="1215" w:type="dxa"/>
            <w:vAlign w:val="center"/>
          </w:tcPr>
          <w:p w14:paraId="26EACA3D" w14:textId="43DE3A57"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9</w:t>
            </w:r>
          </w:p>
        </w:tc>
        <w:tc>
          <w:tcPr>
            <w:tcW w:w="968" w:type="dxa"/>
            <w:vAlign w:val="center"/>
          </w:tcPr>
          <w:p w14:paraId="185D3AC3" w14:textId="09651B63"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w:t>
            </w:r>
            <w:r>
              <w:rPr>
                <w:rFonts w:cs="Times New Roman"/>
                <w:color w:val="000000"/>
                <w:sz w:val="16"/>
                <w:szCs w:val="16"/>
              </w:rPr>
              <w:t>14</w:t>
            </w:r>
          </w:p>
        </w:tc>
        <w:tc>
          <w:tcPr>
            <w:tcW w:w="1339" w:type="dxa"/>
            <w:vAlign w:val="center"/>
          </w:tcPr>
          <w:p w14:paraId="4BA411F2" w14:textId="237FCBE7" w:rsidR="00233441" w:rsidRPr="00037B5E" w:rsidRDefault="00383FF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29</w:t>
            </w:r>
          </w:p>
        </w:tc>
        <w:tc>
          <w:tcPr>
            <w:tcW w:w="993" w:type="dxa"/>
            <w:vAlign w:val="center"/>
          </w:tcPr>
          <w:p w14:paraId="3C4F8396" w14:textId="10A567DE"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997" w:type="dxa"/>
            <w:vAlign w:val="center"/>
          </w:tcPr>
          <w:p w14:paraId="592113BA" w14:textId="414FBA6F"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w:t>
            </w:r>
          </w:p>
        </w:tc>
      </w:tr>
      <w:tr w:rsidR="00233441" w:rsidRPr="00037B5E" w14:paraId="27572A7A" w14:textId="58CA55AC"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7BD866D2" w14:textId="39FADB13" w:rsidR="00233441" w:rsidRPr="00037B5E" w:rsidRDefault="00233441" w:rsidP="00233441">
            <w:pPr>
              <w:spacing w:line="240" w:lineRule="auto"/>
              <w:jc w:val="center"/>
              <w:rPr>
                <w:rFonts w:cs="Times New Roman"/>
                <w:sz w:val="16"/>
                <w:szCs w:val="16"/>
              </w:rPr>
            </w:pPr>
            <w:r>
              <w:rPr>
                <w:rFonts w:cs="Times New Roman"/>
                <w:sz w:val="16"/>
                <w:szCs w:val="16"/>
              </w:rPr>
              <w:t xml:space="preserve"> </w:t>
            </w:r>
            <w:r w:rsidRPr="00E84107">
              <w:rPr>
                <w:rFonts w:cs="Times New Roman"/>
                <w:sz w:val="16"/>
                <w:szCs w:val="16"/>
              </w:rPr>
              <w:t>Blanchard</w:t>
            </w:r>
          </w:p>
        </w:tc>
        <w:tc>
          <w:tcPr>
            <w:tcW w:w="1390" w:type="dxa"/>
            <w:vAlign w:val="center"/>
          </w:tcPr>
          <w:p w14:paraId="37ED9062" w14:textId="1A98B0C6"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75141E">
              <w:rPr>
                <w:rFonts w:cs="Times New Roman"/>
                <w:color w:val="000000"/>
                <w:sz w:val="16"/>
                <w:szCs w:val="16"/>
              </w:rPr>
              <w:t>2</w:t>
            </w:r>
          </w:p>
        </w:tc>
        <w:tc>
          <w:tcPr>
            <w:tcW w:w="1215" w:type="dxa"/>
            <w:vAlign w:val="center"/>
          </w:tcPr>
          <w:p w14:paraId="2FC8D073" w14:textId="656352CA"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12</w:t>
            </w:r>
          </w:p>
        </w:tc>
        <w:tc>
          <w:tcPr>
            <w:tcW w:w="968" w:type="dxa"/>
            <w:vAlign w:val="center"/>
          </w:tcPr>
          <w:p w14:paraId="45F1A53E" w14:textId="255126B3"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c>
          <w:tcPr>
            <w:tcW w:w="1339" w:type="dxa"/>
            <w:vAlign w:val="center"/>
          </w:tcPr>
          <w:p w14:paraId="625D10B7" w14:textId="2FFA93AE"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383FFE">
              <w:rPr>
                <w:rFonts w:cs="Times New Roman"/>
                <w:color w:val="000000"/>
                <w:sz w:val="16"/>
                <w:szCs w:val="16"/>
              </w:rPr>
              <w:t>2</w:t>
            </w:r>
          </w:p>
        </w:tc>
        <w:tc>
          <w:tcPr>
            <w:tcW w:w="993" w:type="dxa"/>
            <w:vAlign w:val="center"/>
          </w:tcPr>
          <w:p w14:paraId="34E0E74E" w14:textId="190127FC"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w:t>
            </w:r>
          </w:p>
        </w:tc>
        <w:tc>
          <w:tcPr>
            <w:tcW w:w="997" w:type="dxa"/>
            <w:vAlign w:val="center"/>
          </w:tcPr>
          <w:p w14:paraId="654594BA" w14:textId="3E693B49"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12</w:t>
            </w:r>
          </w:p>
        </w:tc>
      </w:tr>
      <w:tr w:rsidR="00233441" w:rsidRPr="00037B5E" w14:paraId="0ADEBFCE" w14:textId="6F2FBEBC"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560556AC" w14:textId="5ED32469" w:rsidR="00233441" w:rsidRPr="00037B5E" w:rsidRDefault="00233441" w:rsidP="00233441">
            <w:pPr>
              <w:spacing w:line="240" w:lineRule="auto"/>
              <w:rPr>
                <w:rFonts w:cs="Times New Roman"/>
                <w:sz w:val="16"/>
                <w:szCs w:val="16"/>
              </w:rPr>
            </w:pPr>
            <w:r w:rsidRPr="00E84107">
              <w:rPr>
                <w:rFonts w:cs="Times New Roman"/>
                <w:sz w:val="16"/>
                <w:szCs w:val="16"/>
              </w:rPr>
              <w:t>Sandusky</w:t>
            </w:r>
          </w:p>
        </w:tc>
        <w:tc>
          <w:tcPr>
            <w:tcW w:w="1390" w:type="dxa"/>
            <w:vAlign w:val="center"/>
          </w:tcPr>
          <w:p w14:paraId="25DAE1D9" w14:textId="07727DE8" w:rsidR="00233441" w:rsidRPr="00037B5E" w:rsidRDefault="0075141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36</w:t>
            </w:r>
          </w:p>
        </w:tc>
        <w:tc>
          <w:tcPr>
            <w:tcW w:w="1215" w:type="dxa"/>
            <w:vAlign w:val="center"/>
          </w:tcPr>
          <w:p w14:paraId="591701BF" w14:textId="5725083D"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968" w:type="dxa"/>
            <w:vAlign w:val="center"/>
          </w:tcPr>
          <w:p w14:paraId="62AAD3E7" w14:textId="447E4BC4"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1339" w:type="dxa"/>
            <w:vAlign w:val="center"/>
          </w:tcPr>
          <w:p w14:paraId="4E9024C0" w14:textId="1768BF9A"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383FFE">
              <w:rPr>
                <w:rFonts w:cs="Times New Roman"/>
                <w:color w:val="000000"/>
                <w:sz w:val="16"/>
                <w:szCs w:val="16"/>
              </w:rPr>
              <w:t>4</w:t>
            </w:r>
          </w:p>
        </w:tc>
        <w:tc>
          <w:tcPr>
            <w:tcW w:w="993" w:type="dxa"/>
            <w:vAlign w:val="center"/>
          </w:tcPr>
          <w:p w14:paraId="36F2C830" w14:textId="193A6044"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8</w:t>
            </w:r>
          </w:p>
        </w:tc>
        <w:tc>
          <w:tcPr>
            <w:tcW w:w="997" w:type="dxa"/>
            <w:vAlign w:val="center"/>
          </w:tcPr>
          <w:p w14:paraId="15B52D08" w14:textId="69527E84"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19</w:t>
            </w:r>
          </w:p>
        </w:tc>
      </w:tr>
      <w:tr w:rsidR="00233441" w:rsidRPr="00037B5E" w14:paraId="1B6D0510" w14:textId="5D752D14"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1E710473" w14:textId="45763183"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Honey</w:t>
            </w:r>
          </w:p>
        </w:tc>
        <w:tc>
          <w:tcPr>
            <w:tcW w:w="1390" w:type="dxa"/>
            <w:vAlign w:val="center"/>
          </w:tcPr>
          <w:p w14:paraId="70C4759C" w14:textId="3B58A273" w:rsidR="00233441" w:rsidRPr="00037B5E" w:rsidRDefault="0075141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34</w:t>
            </w:r>
          </w:p>
        </w:tc>
        <w:tc>
          <w:tcPr>
            <w:tcW w:w="1215" w:type="dxa"/>
            <w:vAlign w:val="center"/>
          </w:tcPr>
          <w:p w14:paraId="3BE0C69A" w14:textId="54701FC2"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p>
        </w:tc>
        <w:tc>
          <w:tcPr>
            <w:tcW w:w="968" w:type="dxa"/>
            <w:vAlign w:val="center"/>
          </w:tcPr>
          <w:p w14:paraId="392FCF32" w14:textId="73903BF6"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w:t>
            </w:r>
            <w:r>
              <w:rPr>
                <w:rFonts w:cs="Times New Roman"/>
                <w:color w:val="000000"/>
                <w:sz w:val="16"/>
                <w:szCs w:val="16"/>
              </w:rPr>
              <w:t>5</w:t>
            </w:r>
          </w:p>
        </w:tc>
        <w:tc>
          <w:tcPr>
            <w:tcW w:w="1339" w:type="dxa"/>
            <w:vAlign w:val="center"/>
          </w:tcPr>
          <w:p w14:paraId="7A2C956A" w14:textId="01D555A5"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383FFE">
              <w:rPr>
                <w:rFonts w:cs="Times New Roman"/>
                <w:color w:val="000000"/>
                <w:sz w:val="16"/>
                <w:szCs w:val="16"/>
              </w:rPr>
              <w:t>3</w:t>
            </w:r>
          </w:p>
        </w:tc>
        <w:tc>
          <w:tcPr>
            <w:tcW w:w="993" w:type="dxa"/>
            <w:vAlign w:val="center"/>
          </w:tcPr>
          <w:p w14:paraId="7B02C02B" w14:textId="596E3B77"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c>
          <w:tcPr>
            <w:tcW w:w="997" w:type="dxa"/>
            <w:vAlign w:val="center"/>
          </w:tcPr>
          <w:p w14:paraId="734F3FAA" w14:textId="4F2D6EE3"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0</w:t>
            </w:r>
          </w:p>
        </w:tc>
      </w:tr>
      <w:tr w:rsidR="00233441" w:rsidRPr="00037B5E" w14:paraId="402C7499" w14:textId="5B16E2B3" w:rsidTr="00C43D60">
        <w:trPr>
          <w:trHeight w:val="308"/>
          <w:jc w:val="center"/>
        </w:trPr>
        <w:tc>
          <w:tcPr>
            <w:cnfStyle w:val="001000000000" w:firstRow="0" w:lastRow="0" w:firstColumn="1" w:lastColumn="0" w:oddVBand="0" w:evenVBand="0" w:oddHBand="0" w:evenHBand="0" w:firstRowFirstColumn="0" w:firstRowLastColumn="0" w:lastRowFirstColumn="0" w:lastRowLastColumn="0"/>
            <w:tcW w:w="1197" w:type="dxa"/>
            <w:vAlign w:val="center"/>
          </w:tcPr>
          <w:p w14:paraId="4067EC89" w14:textId="6F70DBC0" w:rsidR="00233441" w:rsidRPr="00037B5E" w:rsidRDefault="00233441" w:rsidP="00233441">
            <w:pPr>
              <w:spacing w:line="240" w:lineRule="auto"/>
              <w:rPr>
                <w:rFonts w:cs="Times New Roman"/>
                <w:sz w:val="16"/>
                <w:szCs w:val="16"/>
              </w:rPr>
            </w:pPr>
            <w:r w:rsidRPr="00E84107">
              <w:rPr>
                <w:rFonts w:cs="Times New Roman"/>
                <w:sz w:val="16"/>
                <w:szCs w:val="16"/>
              </w:rPr>
              <w:t>Raisin</w:t>
            </w:r>
          </w:p>
        </w:tc>
        <w:tc>
          <w:tcPr>
            <w:tcW w:w="1390" w:type="dxa"/>
            <w:vAlign w:val="center"/>
          </w:tcPr>
          <w:p w14:paraId="6DEA26AC" w14:textId="526CD18D"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75141E">
              <w:rPr>
                <w:rFonts w:cs="Times New Roman"/>
                <w:color w:val="000000"/>
                <w:sz w:val="16"/>
                <w:szCs w:val="16"/>
              </w:rPr>
              <w:t>2</w:t>
            </w:r>
          </w:p>
        </w:tc>
        <w:tc>
          <w:tcPr>
            <w:tcW w:w="1215" w:type="dxa"/>
            <w:vAlign w:val="center"/>
          </w:tcPr>
          <w:p w14:paraId="4ADA8BB2" w14:textId="39B980EA"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24</w:t>
            </w:r>
          </w:p>
        </w:tc>
        <w:tc>
          <w:tcPr>
            <w:tcW w:w="968" w:type="dxa"/>
            <w:vAlign w:val="center"/>
          </w:tcPr>
          <w:p w14:paraId="3D2E0534" w14:textId="2E9E216C"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-14</w:t>
            </w:r>
          </w:p>
        </w:tc>
        <w:tc>
          <w:tcPr>
            <w:tcW w:w="1339" w:type="dxa"/>
            <w:vAlign w:val="center"/>
          </w:tcPr>
          <w:p w14:paraId="298A780E" w14:textId="636316AE"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3</w:t>
            </w:r>
            <w:r w:rsidR="00383FFE">
              <w:rPr>
                <w:rFonts w:cs="Times New Roman"/>
                <w:color w:val="000000"/>
                <w:sz w:val="16"/>
                <w:szCs w:val="16"/>
              </w:rPr>
              <w:t>1</w:t>
            </w:r>
          </w:p>
        </w:tc>
        <w:tc>
          <w:tcPr>
            <w:tcW w:w="993" w:type="dxa"/>
            <w:vAlign w:val="center"/>
          </w:tcPr>
          <w:p w14:paraId="520F8352" w14:textId="5EE6B0A4"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31</w:t>
            </w:r>
          </w:p>
        </w:tc>
        <w:tc>
          <w:tcPr>
            <w:tcW w:w="997" w:type="dxa"/>
            <w:vAlign w:val="center"/>
          </w:tcPr>
          <w:p w14:paraId="1803C36C" w14:textId="124A6F8B"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w:t>
            </w:r>
          </w:p>
        </w:tc>
      </w:tr>
      <w:tr w:rsidR="00233441" w:rsidRPr="00037B5E" w14:paraId="32BF940B" w14:textId="6B13570B" w:rsidTr="00C43D6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1197" w:type="dxa"/>
            <w:tcBorders>
              <w:top w:val="single" w:sz="4" w:space="0" w:color="auto"/>
            </w:tcBorders>
            <w:vAlign w:val="center"/>
          </w:tcPr>
          <w:p w14:paraId="6DBCE210" w14:textId="7A9F35BF" w:rsidR="00233441" w:rsidRPr="00037B5E" w:rsidRDefault="00233441" w:rsidP="00233441">
            <w:pPr>
              <w:spacing w:line="240" w:lineRule="auto"/>
              <w:jc w:val="center"/>
              <w:rPr>
                <w:rFonts w:cs="Times New Roman"/>
                <w:sz w:val="16"/>
                <w:szCs w:val="16"/>
              </w:rPr>
            </w:pPr>
            <w:r w:rsidRPr="00037B5E">
              <w:rPr>
                <w:rFonts w:cs="Times New Roman"/>
                <w:sz w:val="16"/>
                <w:szCs w:val="16"/>
              </w:rPr>
              <w:t>Average</w:t>
            </w:r>
          </w:p>
        </w:tc>
        <w:tc>
          <w:tcPr>
            <w:tcW w:w="1390" w:type="dxa"/>
            <w:tcBorders>
              <w:top w:val="single" w:sz="4" w:space="0" w:color="auto"/>
            </w:tcBorders>
            <w:vAlign w:val="center"/>
          </w:tcPr>
          <w:p w14:paraId="0239669E" w14:textId="1A120534"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34</w:t>
            </w:r>
          </w:p>
        </w:tc>
        <w:tc>
          <w:tcPr>
            <w:tcW w:w="1215" w:type="dxa"/>
            <w:tcBorders>
              <w:top w:val="single" w:sz="4" w:space="0" w:color="auto"/>
            </w:tcBorders>
            <w:vAlign w:val="center"/>
          </w:tcPr>
          <w:p w14:paraId="6F2276F7" w14:textId="420FD585"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9</w:t>
            </w:r>
          </w:p>
        </w:tc>
        <w:tc>
          <w:tcPr>
            <w:tcW w:w="968" w:type="dxa"/>
            <w:tcBorders>
              <w:top w:val="single" w:sz="4" w:space="0" w:color="auto"/>
            </w:tcBorders>
            <w:vAlign w:val="center"/>
          </w:tcPr>
          <w:p w14:paraId="183ACB16" w14:textId="4F3D9F7A"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w:t>
            </w:r>
          </w:p>
        </w:tc>
        <w:tc>
          <w:tcPr>
            <w:tcW w:w="1339" w:type="dxa"/>
            <w:tcBorders>
              <w:top w:val="single" w:sz="4" w:space="0" w:color="auto"/>
            </w:tcBorders>
            <w:vAlign w:val="center"/>
          </w:tcPr>
          <w:p w14:paraId="228DBE05" w14:textId="6AE2AB2F"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32</w:t>
            </w:r>
          </w:p>
        </w:tc>
        <w:tc>
          <w:tcPr>
            <w:tcW w:w="993" w:type="dxa"/>
            <w:tcBorders>
              <w:top w:val="single" w:sz="4" w:space="0" w:color="auto"/>
            </w:tcBorders>
            <w:vAlign w:val="center"/>
          </w:tcPr>
          <w:p w14:paraId="1E314C3D" w14:textId="4432F7CC"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11</w:t>
            </w:r>
          </w:p>
        </w:tc>
        <w:tc>
          <w:tcPr>
            <w:tcW w:w="997" w:type="dxa"/>
            <w:tcBorders>
              <w:top w:val="single" w:sz="4" w:space="0" w:color="auto"/>
            </w:tcBorders>
            <w:vAlign w:val="center"/>
          </w:tcPr>
          <w:p w14:paraId="5FFF2B8B" w14:textId="725935B5"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r>
    </w:tbl>
    <w:p w14:paraId="3B201539" w14:textId="77777777" w:rsidR="00552A1A" w:rsidRPr="00552A1A" w:rsidRDefault="00552A1A" w:rsidP="00552A1A"/>
    <w:p w14:paraId="5D9264CC" w14:textId="0781DF9F" w:rsidR="00D9268F" w:rsidRDefault="00552A1A" w:rsidP="00D9268F">
      <w:pPr>
        <w:pStyle w:val="Heading3"/>
      </w:pPr>
      <w:r>
        <w:t xml:space="preserve">Spring </w:t>
      </w:r>
      <w:r w:rsidR="00A3285A">
        <w:t>(Mar-Jul) P dynamics in WLEB streams and rivers</w:t>
      </w:r>
    </w:p>
    <w:p w14:paraId="129374C4" w14:textId="77777777" w:rsidR="007D0C12" w:rsidRDefault="0086141C" w:rsidP="0086141C">
      <w:pPr>
        <w:ind w:firstLine="720"/>
      </w:pPr>
      <w:r>
        <w:t xml:space="preserve">The P fluxes released during the spring season ranged from 47 to 52% of the annual SRP FN flux and 54 to 58% of the annual TP flux (Table 6). Thus, the spring season delivers the largest relative amount of P within the year. Therefore, percent changes in the spring season represent the largest relative changes in P delivery and have the largest relative influence on annual P delivery. </w:t>
      </w:r>
    </w:p>
    <w:p w14:paraId="0C140B6C" w14:textId="5A7663B0" w:rsidR="0086141C" w:rsidRDefault="0086141C" w:rsidP="0086141C">
      <w:pPr>
        <w:ind w:firstLine="720"/>
      </w:pPr>
      <w:r>
        <w:t>From 200</w:t>
      </w:r>
      <w:r w:rsidR="007D0C12">
        <w:t>9 to 2015</w:t>
      </w:r>
      <w:r>
        <w:t xml:space="preserve">, spring SRP </w:t>
      </w:r>
      <w:r w:rsidR="007D0C12">
        <w:t xml:space="preserve">FN </w:t>
      </w:r>
      <w:r>
        <w:t>fluxes were upward at five of the s</w:t>
      </w:r>
      <w:r w:rsidR="007D0C12">
        <w:t xml:space="preserve">ix </w:t>
      </w:r>
      <w:r>
        <w:t>sites, with only</w:t>
      </w:r>
      <w:r w:rsidR="007D0C12">
        <w:t xml:space="preserve"> </w:t>
      </w:r>
      <w:r>
        <w:t>Maumee showing</w:t>
      </w:r>
      <w:r w:rsidR="007D0C12">
        <w:t xml:space="preserve"> a</w:t>
      </w:r>
      <w:r>
        <w:t xml:space="preserve"> downward trend. The greatest of these upward trends occurred at the </w:t>
      </w:r>
      <w:r w:rsidR="007D0C12">
        <w:t xml:space="preserve">Raisin </w:t>
      </w:r>
      <w:r>
        <w:t>site</w:t>
      </w:r>
      <w:r w:rsidR="007D0C12">
        <w:t xml:space="preserve"> (29%)</w:t>
      </w:r>
      <w:r>
        <w:t>.</w:t>
      </w:r>
      <w:r w:rsidR="007D0C12">
        <w:t xml:space="preserve"> From 2015 to 2022</w:t>
      </w:r>
      <w:r>
        <w:t>, spring SRP FN flux trends were either weaker upward, transition</w:t>
      </w:r>
      <w:r w:rsidR="007D0C12">
        <w:t>ed</w:t>
      </w:r>
      <w:r>
        <w:t xml:space="preserve"> to downward, or stronger downward trends at every site. These results suggest that efforts to reduce SRP export and improve water quality in the basin has been having a positive effect – if only a slight positive effect.</w:t>
      </w:r>
    </w:p>
    <w:p w14:paraId="1C6C916F" w14:textId="0E1C4493" w:rsidR="0086141C" w:rsidRPr="0086141C" w:rsidRDefault="007D0C12" w:rsidP="006D22F4">
      <w:pPr>
        <w:ind w:firstLine="720"/>
      </w:pPr>
      <w:r>
        <w:t xml:space="preserve">From 2009 to 2015, </w:t>
      </w:r>
      <w:r w:rsidR="0086141C">
        <w:t xml:space="preserve">spring </w:t>
      </w:r>
      <w:r>
        <w:t xml:space="preserve">TP </w:t>
      </w:r>
      <w:r w:rsidR="0086141C">
        <w:t xml:space="preserve">FN flux trends </w:t>
      </w:r>
      <w:r w:rsidR="006D22F4">
        <w:t>were generally positive or near zero, with only Maumee having a negative trend (Table 7). Unlike SRP trends, from 2015 to 2021 TP trends were generally stronger positive trends, indicating increasing TP export. Notable exceptions were Tiffin and Raisin, which had slightly weaker positive trends. T</w:t>
      </w:r>
      <w:r w:rsidR="00B417F7">
        <w:t>P trends at each site w</w:t>
      </w:r>
      <w:r w:rsidR="006D22F4">
        <w:t>ere positive</w:t>
      </w:r>
      <w:r w:rsidR="0086141C">
        <w:t xml:space="preserve"> at all sites </w:t>
      </w:r>
      <w:r w:rsidR="006D22F4">
        <w:t>in the recent period (2015-2021)</w:t>
      </w:r>
      <w:r w:rsidR="0086141C">
        <w:t>. The strengthening upward trends in spring TP fluxes in large watersheds suggest that spring TP losses have been increasing across the basin</w:t>
      </w:r>
      <w:r w:rsidR="006D22F4">
        <w:t>.</w:t>
      </w:r>
    </w:p>
    <w:p w14:paraId="740EDD42" w14:textId="4366C8CB" w:rsidR="00E24710" w:rsidRPr="00E24710" w:rsidRDefault="00E24710" w:rsidP="00E24710">
      <w:pPr>
        <w:pStyle w:val="Caption"/>
      </w:pPr>
      <w:r>
        <w:t xml:space="preserve">Table </w:t>
      </w:r>
      <w:r w:rsidR="007D0C12">
        <w:t>7</w:t>
      </w:r>
      <w:r>
        <w:t>: Overview of SRP and TP FN fluxes during the spring season. The spring season lasted from 1 Mar through 31 Jul. FN flux trends are reported as the rate of percent change (%) over the period of interest. The percentage of annual FN Flux is the mean percentage of the FN flux released during the spring season from 2008-2022.</w:t>
      </w:r>
    </w:p>
    <w:tbl>
      <w:tblPr>
        <w:tblStyle w:val="PlainTable2"/>
        <w:tblW w:w="0" w:type="auto"/>
        <w:jc w:val="center"/>
        <w:tblLook w:val="04A0" w:firstRow="1" w:lastRow="0" w:firstColumn="1" w:lastColumn="0" w:noHBand="0" w:noVBand="1"/>
      </w:tblPr>
      <w:tblGrid>
        <w:gridCol w:w="1216"/>
        <w:gridCol w:w="1414"/>
        <w:gridCol w:w="1235"/>
        <w:gridCol w:w="1085"/>
        <w:gridCol w:w="1258"/>
        <w:gridCol w:w="1011"/>
        <w:gridCol w:w="1012"/>
      </w:tblGrid>
      <w:tr w:rsidR="00037B5E" w:rsidRPr="00037B5E" w14:paraId="2632E4B7" w14:textId="77777777" w:rsidTr="00C43D60">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Merge w:val="restart"/>
            <w:vAlign w:val="center"/>
          </w:tcPr>
          <w:p w14:paraId="700A58E8" w14:textId="75BD5265" w:rsidR="00037B5E" w:rsidRPr="00037B5E" w:rsidRDefault="00037B5E" w:rsidP="00C43D60">
            <w:pPr>
              <w:spacing w:line="240" w:lineRule="auto"/>
              <w:jc w:val="center"/>
              <w:rPr>
                <w:rFonts w:cs="Times New Roman"/>
                <w:sz w:val="16"/>
                <w:szCs w:val="16"/>
              </w:rPr>
            </w:pPr>
            <w:r w:rsidRPr="00037B5E">
              <w:rPr>
                <w:rFonts w:cs="Times New Roman"/>
                <w:sz w:val="16"/>
                <w:szCs w:val="16"/>
              </w:rPr>
              <w:t>Sites</w:t>
            </w:r>
          </w:p>
        </w:tc>
        <w:tc>
          <w:tcPr>
            <w:tcW w:w="3734" w:type="dxa"/>
            <w:gridSpan w:val="3"/>
            <w:vAlign w:val="center"/>
          </w:tcPr>
          <w:p w14:paraId="16CE1855" w14:textId="4824192D"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SRP</w:t>
            </w:r>
          </w:p>
        </w:tc>
        <w:tc>
          <w:tcPr>
            <w:tcW w:w="3281" w:type="dxa"/>
            <w:gridSpan w:val="3"/>
            <w:vAlign w:val="center"/>
          </w:tcPr>
          <w:p w14:paraId="4DC8AA1C" w14:textId="7D32C6E9" w:rsidR="00037B5E" w:rsidRPr="00037B5E" w:rsidRDefault="00037B5E"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TP</w:t>
            </w:r>
          </w:p>
        </w:tc>
      </w:tr>
      <w:tr w:rsidR="00037B5E" w:rsidRPr="00037B5E" w14:paraId="7DBBAC59" w14:textId="77777777" w:rsidTr="00C43D60">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097D1394" w14:textId="769E268A" w:rsidR="00037B5E" w:rsidRPr="00037B5E" w:rsidRDefault="00037B5E" w:rsidP="00C43D60">
            <w:pPr>
              <w:spacing w:line="240" w:lineRule="auto"/>
              <w:jc w:val="center"/>
              <w:rPr>
                <w:rFonts w:cs="Times New Roman"/>
                <w:sz w:val="16"/>
                <w:szCs w:val="16"/>
              </w:rPr>
            </w:pPr>
          </w:p>
        </w:tc>
        <w:tc>
          <w:tcPr>
            <w:tcW w:w="1414" w:type="dxa"/>
            <w:vMerge w:val="restart"/>
            <w:vAlign w:val="center"/>
          </w:tcPr>
          <w:p w14:paraId="1E64D91A"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320" w:type="dxa"/>
            <w:gridSpan w:val="2"/>
            <w:vAlign w:val="center"/>
          </w:tcPr>
          <w:p w14:paraId="1DE98719"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c>
          <w:tcPr>
            <w:tcW w:w="1258" w:type="dxa"/>
            <w:vMerge w:val="restart"/>
            <w:vAlign w:val="center"/>
          </w:tcPr>
          <w:p w14:paraId="22F09CF4" w14:textId="77777777"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Percentage of annual FN trend</w:t>
            </w:r>
          </w:p>
        </w:tc>
        <w:tc>
          <w:tcPr>
            <w:tcW w:w="2023" w:type="dxa"/>
            <w:gridSpan w:val="2"/>
            <w:vAlign w:val="center"/>
          </w:tcPr>
          <w:p w14:paraId="474A0557" w14:textId="64F309EF" w:rsidR="00037B5E" w:rsidRPr="00037B5E" w:rsidRDefault="00037B5E" w:rsidP="00C43D60">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sz w:val="16"/>
                <w:szCs w:val="16"/>
              </w:rPr>
              <w:t>FN flux trends</w:t>
            </w:r>
          </w:p>
        </w:tc>
      </w:tr>
      <w:tr w:rsidR="00037B5E" w:rsidRPr="00037B5E" w14:paraId="2733AD01"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23CFD90E" w14:textId="0D4E191D" w:rsidR="00037B5E" w:rsidRPr="00037B5E" w:rsidRDefault="00037B5E" w:rsidP="00C43D60">
            <w:pPr>
              <w:spacing w:line="240" w:lineRule="auto"/>
              <w:jc w:val="center"/>
              <w:rPr>
                <w:rFonts w:cs="Times New Roman"/>
                <w:sz w:val="16"/>
                <w:szCs w:val="16"/>
              </w:rPr>
            </w:pPr>
          </w:p>
        </w:tc>
        <w:tc>
          <w:tcPr>
            <w:tcW w:w="1414" w:type="dxa"/>
            <w:vMerge/>
            <w:vAlign w:val="center"/>
          </w:tcPr>
          <w:p w14:paraId="77C6B856"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35" w:type="dxa"/>
            <w:vAlign w:val="center"/>
          </w:tcPr>
          <w:p w14:paraId="1D9ABBAC" w14:textId="1C13DBE3"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1085" w:type="dxa"/>
            <w:vAlign w:val="center"/>
          </w:tcPr>
          <w:p w14:paraId="541E75D9" w14:textId="2231080A"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w:t>
            </w:r>
            <w:r w:rsidR="00233441">
              <w:rPr>
                <w:rFonts w:cs="Times New Roman"/>
                <w:sz w:val="16"/>
                <w:szCs w:val="16"/>
              </w:rPr>
              <w:t>21</w:t>
            </w:r>
          </w:p>
        </w:tc>
        <w:tc>
          <w:tcPr>
            <w:tcW w:w="1258" w:type="dxa"/>
            <w:vMerge/>
            <w:vAlign w:val="center"/>
          </w:tcPr>
          <w:p w14:paraId="2F9BE0CC" w14:textId="77777777"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11" w:type="dxa"/>
            <w:vAlign w:val="center"/>
          </w:tcPr>
          <w:p w14:paraId="0A0BB938" w14:textId="7D0DA36B"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200</w:t>
            </w:r>
            <w:r w:rsidR="00233441">
              <w:rPr>
                <w:rFonts w:cs="Times New Roman"/>
                <w:sz w:val="16"/>
                <w:szCs w:val="16"/>
              </w:rPr>
              <w:t>9</w:t>
            </w:r>
            <w:r w:rsidRPr="00037B5E">
              <w:rPr>
                <w:rFonts w:cs="Times New Roman"/>
                <w:sz w:val="16"/>
                <w:szCs w:val="16"/>
              </w:rPr>
              <w:t>-20</w:t>
            </w:r>
            <w:r w:rsidR="00233441">
              <w:rPr>
                <w:rFonts w:cs="Times New Roman"/>
                <w:sz w:val="16"/>
                <w:szCs w:val="16"/>
              </w:rPr>
              <w:t>15</w:t>
            </w:r>
          </w:p>
        </w:tc>
        <w:tc>
          <w:tcPr>
            <w:tcW w:w="1012" w:type="dxa"/>
            <w:vAlign w:val="center"/>
          </w:tcPr>
          <w:p w14:paraId="7ECD5B47" w14:textId="232BBCFF" w:rsidR="00037B5E" w:rsidRPr="00037B5E" w:rsidRDefault="00037B5E" w:rsidP="00C43D60">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sz w:val="16"/>
                <w:szCs w:val="16"/>
              </w:rPr>
              <w:t>2015-202</w:t>
            </w:r>
            <w:r w:rsidR="00233441">
              <w:rPr>
                <w:rFonts w:cs="Times New Roman"/>
                <w:sz w:val="16"/>
                <w:szCs w:val="16"/>
              </w:rPr>
              <w:t>1</w:t>
            </w:r>
          </w:p>
        </w:tc>
      </w:tr>
      <w:tr w:rsidR="00233441" w:rsidRPr="00037B5E" w14:paraId="7E4A1BA1"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480BCBC" w14:textId="5C042521" w:rsidR="00233441" w:rsidRPr="00037B5E" w:rsidRDefault="00233441" w:rsidP="00233441">
            <w:pPr>
              <w:spacing w:line="240" w:lineRule="auto"/>
              <w:rPr>
                <w:rFonts w:cs="Times New Roman"/>
                <w:sz w:val="16"/>
                <w:szCs w:val="16"/>
              </w:rPr>
            </w:pPr>
            <w:r w:rsidRPr="00E84107">
              <w:rPr>
                <w:rFonts w:cs="Times New Roman"/>
                <w:sz w:val="16"/>
                <w:szCs w:val="16"/>
              </w:rPr>
              <w:t>Maumee</w:t>
            </w:r>
          </w:p>
        </w:tc>
        <w:tc>
          <w:tcPr>
            <w:tcW w:w="1414" w:type="dxa"/>
            <w:vAlign w:val="center"/>
          </w:tcPr>
          <w:p w14:paraId="59D522B4" w14:textId="3EF92E91" w:rsidR="00233441" w:rsidRPr="00037B5E" w:rsidRDefault="00FF147A"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52</w:t>
            </w:r>
          </w:p>
        </w:tc>
        <w:tc>
          <w:tcPr>
            <w:tcW w:w="1235" w:type="dxa"/>
            <w:vAlign w:val="center"/>
          </w:tcPr>
          <w:p w14:paraId="60A14C40" w14:textId="69B3D828"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p>
        </w:tc>
        <w:tc>
          <w:tcPr>
            <w:tcW w:w="1085" w:type="dxa"/>
            <w:vAlign w:val="center"/>
          </w:tcPr>
          <w:p w14:paraId="26F70C91" w14:textId="0E571931"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-6</w:t>
            </w:r>
          </w:p>
        </w:tc>
        <w:tc>
          <w:tcPr>
            <w:tcW w:w="1258" w:type="dxa"/>
            <w:vAlign w:val="center"/>
          </w:tcPr>
          <w:p w14:paraId="6EA9DDEE" w14:textId="102F1A6C" w:rsidR="00233441" w:rsidRPr="00037B5E" w:rsidRDefault="00383FF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57</w:t>
            </w:r>
          </w:p>
        </w:tc>
        <w:tc>
          <w:tcPr>
            <w:tcW w:w="1011" w:type="dxa"/>
            <w:vAlign w:val="center"/>
          </w:tcPr>
          <w:p w14:paraId="05B3E9B4" w14:textId="3DA21449" w:rsidR="00233441" w:rsidRPr="00037B5E" w:rsidRDefault="0075141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w:t>
            </w:r>
          </w:p>
        </w:tc>
        <w:tc>
          <w:tcPr>
            <w:tcW w:w="1012" w:type="dxa"/>
            <w:vAlign w:val="center"/>
          </w:tcPr>
          <w:p w14:paraId="621943C7" w14:textId="197CC8E5"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13</w:t>
            </w:r>
          </w:p>
        </w:tc>
      </w:tr>
      <w:tr w:rsidR="00233441" w:rsidRPr="00037B5E" w14:paraId="6AD2CF20"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7C12F6BB" w14:textId="651828EB"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Tiffin</w:t>
            </w:r>
          </w:p>
        </w:tc>
        <w:tc>
          <w:tcPr>
            <w:tcW w:w="1414" w:type="dxa"/>
            <w:vAlign w:val="center"/>
          </w:tcPr>
          <w:p w14:paraId="7E905EE3" w14:textId="7231B8F3" w:rsidR="00233441" w:rsidRPr="00037B5E" w:rsidRDefault="00FF147A"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51</w:t>
            </w:r>
          </w:p>
        </w:tc>
        <w:tc>
          <w:tcPr>
            <w:tcW w:w="1235" w:type="dxa"/>
            <w:vAlign w:val="center"/>
          </w:tcPr>
          <w:p w14:paraId="03952D85" w14:textId="33785F6F"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1085" w:type="dxa"/>
            <w:vAlign w:val="center"/>
          </w:tcPr>
          <w:p w14:paraId="0CFFEEF5" w14:textId="398935AD"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1258" w:type="dxa"/>
            <w:vAlign w:val="center"/>
          </w:tcPr>
          <w:p w14:paraId="517EE3DA" w14:textId="1DF84BF5"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8</w:t>
            </w:r>
          </w:p>
        </w:tc>
        <w:tc>
          <w:tcPr>
            <w:tcW w:w="1011" w:type="dxa"/>
            <w:vAlign w:val="center"/>
          </w:tcPr>
          <w:p w14:paraId="0BF7FA8A" w14:textId="70317A16" w:rsidR="00233441" w:rsidRPr="00037B5E" w:rsidRDefault="0075141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1012" w:type="dxa"/>
            <w:vAlign w:val="center"/>
          </w:tcPr>
          <w:p w14:paraId="43533987" w14:textId="6333B38F"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8</w:t>
            </w:r>
          </w:p>
        </w:tc>
      </w:tr>
      <w:tr w:rsidR="00233441" w:rsidRPr="00037B5E" w14:paraId="3137919C"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3460EBB9" w14:textId="27BC354E"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Blanchard</w:t>
            </w:r>
          </w:p>
        </w:tc>
        <w:tc>
          <w:tcPr>
            <w:tcW w:w="1414" w:type="dxa"/>
            <w:vAlign w:val="center"/>
          </w:tcPr>
          <w:p w14:paraId="053FDDAB" w14:textId="70ABEEAA" w:rsidR="00233441" w:rsidRPr="00037B5E" w:rsidRDefault="00FF147A"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49</w:t>
            </w:r>
          </w:p>
        </w:tc>
        <w:tc>
          <w:tcPr>
            <w:tcW w:w="1235" w:type="dxa"/>
            <w:vAlign w:val="center"/>
          </w:tcPr>
          <w:p w14:paraId="7E27AB34" w14:textId="79CBEE7C"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16</w:t>
            </w:r>
          </w:p>
        </w:tc>
        <w:tc>
          <w:tcPr>
            <w:tcW w:w="1085" w:type="dxa"/>
            <w:vAlign w:val="center"/>
          </w:tcPr>
          <w:p w14:paraId="52DFF209" w14:textId="3A3B221D"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c>
          <w:tcPr>
            <w:tcW w:w="1258" w:type="dxa"/>
            <w:vAlign w:val="center"/>
          </w:tcPr>
          <w:p w14:paraId="74551EC1" w14:textId="2087C9AF"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6</w:t>
            </w:r>
          </w:p>
        </w:tc>
        <w:tc>
          <w:tcPr>
            <w:tcW w:w="1011" w:type="dxa"/>
            <w:vAlign w:val="center"/>
          </w:tcPr>
          <w:p w14:paraId="0089CA01" w14:textId="35259FC5" w:rsidR="00233441" w:rsidRPr="00037B5E" w:rsidRDefault="0075141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0</w:t>
            </w:r>
          </w:p>
        </w:tc>
        <w:tc>
          <w:tcPr>
            <w:tcW w:w="1012" w:type="dxa"/>
            <w:vAlign w:val="center"/>
          </w:tcPr>
          <w:p w14:paraId="41172D74" w14:textId="2BC46C14"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12</w:t>
            </w:r>
          </w:p>
        </w:tc>
      </w:tr>
      <w:tr w:rsidR="00233441" w:rsidRPr="00037B5E" w14:paraId="0C03127D"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3BD9E424" w14:textId="79903C48" w:rsidR="00233441" w:rsidRPr="00037B5E" w:rsidRDefault="00233441" w:rsidP="00233441">
            <w:pPr>
              <w:spacing w:line="240" w:lineRule="auto"/>
              <w:rPr>
                <w:rFonts w:cs="Times New Roman"/>
                <w:sz w:val="16"/>
                <w:szCs w:val="16"/>
              </w:rPr>
            </w:pPr>
            <w:r w:rsidRPr="00E84107">
              <w:rPr>
                <w:rFonts w:cs="Times New Roman"/>
                <w:sz w:val="16"/>
                <w:szCs w:val="16"/>
              </w:rPr>
              <w:t>Sandusky</w:t>
            </w:r>
          </w:p>
        </w:tc>
        <w:tc>
          <w:tcPr>
            <w:tcW w:w="1414" w:type="dxa"/>
            <w:vAlign w:val="center"/>
          </w:tcPr>
          <w:p w14:paraId="31120415" w14:textId="25EF60E1"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4</w:t>
            </w:r>
            <w:r w:rsidR="00FF147A">
              <w:rPr>
                <w:rFonts w:cs="Times New Roman"/>
                <w:color w:val="000000"/>
                <w:sz w:val="16"/>
                <w:szCs w:val="16"/>
              </w:rPr>
              <w:t>8</w:t>
            </w:r>
          </w:p>
        </w:tc>
        <w:tc>
          <w:tcPr>
            <w:tcW w:w="1235" w:type="dxa"/>
            <w:vAlign w:val="center"/>
          </w:tcPr>
          <w:p w14:paraId="1B336CA7" w14:textId="658D3E7F"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10</w:t>
            </w:r>
          </w:p>
        </w:tc>
        <w:tc>
          <w:tcPr>
            <w:tcW w:w="1085" w:type="dxa"/>
            <w:vAlign w:val="center"/>
          </w:tcPr>
          <w:p w14:paraId="1EDC0009" w14:textId="099891C6"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9</w:t>
            </w:r>
          </w:p>
        </w:tc>
        <w:tc>
          <w:tcPr>
            <w:tcW w:w="1258" w:type="dxa"/>
            <w:vAlign w:val="center"/>
          </w:tcPr>
          <w:p w14:paraId="78FA2A0A" w14:textId="0062AE66"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5</w:t>
            </w:r>
          </w:p>
        </w:tc>
        <w:tc>
          <w:tcPr>
            <w:tcW w:w="1011" w:type="dxa"/>
            <w:vAlign w:val="center"/>
          </w:tcPr>
          <w:p w14:paraId="302BBA7E" w14:textId="7F6F131E" w:rsidR="00233441" w:rsidRPr="00037B5E" w:rsidRDefault="0075141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0</w:t>
            </w:r>
          </w:p>
        </w:tc>
        <w:tc>
          <w:tcPr>
            <w:tcW w:w="1012" w:type="dxa"/>
            <w:vAlign w:val="center"/>
          </w:tcPr>
          <w:p w14:paraId="189E4D2A" w14:textId="3CAA7940"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21</w:t>
            </w:r>
          </w:p>
        </w:tc>
      </w:tr>
      <w:tr w:rsidR="00233441" w:rsidRPr="00037B5E" w14:paraId="723CCDC6" w14:textId="77777777" w:rsidTr="00C43D6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6CE8EACC" w14:textId="2B04533D" w:rsidR="00233441" w:rsidRPr="00037B5E" w:rsidRDefault="00233441" w:rsidP="00233441">
            <w:pPr>
              <w:spacing w:line="240" w:lineRule="auto"/>
              <w:rPr>
                <w:rFonts w:cs="Times New Roman"/>
                <w:sz w:val="16"/>
                <w:szCs w:val="16"/>
              </w:rPr>
            </w:pPr>
            <w:r>
              <w:rPr>
                <w:rFonts w:cs="Times New Roman"/>
                <w:sz w:val="16"/>
                <w:szCs w:val="16"/>
              </w:rPr>
              <w:t xml:space="preserve">   </w:t>
            </w:r>
            <w:r w:rsidRPr="00E84107">
              <w:rPr>
                <w:rFonts w:cs="Times New Roman"/>
                <w:sz w:val="16"/>
                <w:szCs w:val="16"/>
              </w:rPr>
              <w:t>Honey</w:t>
            </w:r>
          </w:p>
        </w:tc>
        <w:tc>
          <w:tcPr>
            <w:tcW w:w="1414" w:type="dxa"/>
            <w:vAlign w:val="center"/>
          </w:tcPr>
          <w:p w14:paraId="3E848673" w14:textId="0084FDC8" w:rsidR="00233441" w:rsidRPr="00037B5E" w:rsidRDefault="00FF147A"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47</w:t>
            </w:r>
          </w:p>
        </w:tc>
        <w:tc>
          <w:tcPr>
            <w:tcW w:w="1235" w:type="dxa"/>
            <w:vAlign w:val="center"/>
          </w:tcPr>
          <w:p w14:paraId="7D26CACE" w14:textId="76A38904"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c>
          <w:tcPr>
            <w:tcW w:w="1085" w:type="dxa"/>
            <w:vAlign w:val="center"/>
          </w:tcPr>
          <w:p w14:paraId="543F49A7" w14:textId="1DAB6C61"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p>
        </w:tc>
        <w:tc>
          <w:tcPr>
            <w:tcW w:w="1258" w:type="dxa"/>
            <w:vAlign w:val="center"/>
          </w:tcPr>
          <w:p w14:paraId="1AF97F96" w14:textId="15931DDC"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4</w:t>
            </w:r>
          </w:p>
        </w:tc>
        <w:tc>
          <w:tcPr>
            <w:tcW w:w="1011" w:type="dxa"/>
            <w:vAlign w:val="center"/>
          </w:tcPr>
          <w:p w14:paraId="70A050E4" w14:textId="633D5BD5" w:rsidR="00233441" w:rsidRPr="00037B5E" w:rsidRDefault="0075141E"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7</w:t>
            </w:r>
          </w:p>
        </w:tc>
        <w:tc>
          <w:tcPr>
            <w:tcW w:w="1012" w:type="dxa"/>
            <w:vAlign w:val="center"/>
          </w:tcPr>
          <w:p w14:paraId="514C2BE5" w14:textId="0C75E329" w:rsidR="00233441" w:rsidRPr="00037B5E" w:rsidRDefault="00233441"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w:t>
            </w:r>
          </w:p>
        </w:tc>
      </w:tr>
      <w:tr w:rsidR="00233441" w:rsidRPr="00037B5E" w14:paraId="07A9755A" w14:textId="77777777" w:rsidTr="00C43D60">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21AF201D" w14:textId="1A16E66D" w:rsidR="00233441" w:rsidRPr="00037B5E" w:rsidRDefault="00233441" w:rsidP="00233441">
            <w:pPr>
              <w:spacing w:line="240" w:lineRule="auto"/>
              <w:rPr>
                <w:rFonts w:cs="Times New Roman"/>
                <w:sz w:val="16"/>
                <w:szCs w:val="16"/>
              </w:rPr>
            </w:pPr>
            <w:r w:rsidRPr="00E84107">
              <w:rPr>
                <w:rFonts w:cs="Times New Roman"/>
                <w:sz w:val="16"/>
                <w:szCs w:val="16"/>
              </w:rPr>
              <w:t>Raisin</w:t>
            </w:r>
          </w:p>
        </w:tc>
        <w:tc>
          <w:tcPr>
            <w:tcW w:w="1414" w:type="dxa"/>
            <w:vAlign w:val="center"/>
          </w:tcPr>
          <w:p w14:paraId="566FC3B0" w14:textId="7F306D5F" w:rsidR="00233441" w:rsidRPr="00037B5E" w:rsidRDefault="00FF147A"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51</w:t>
            </w:r>
          </w:p>
        </w:tc>
        <w:tc>
          <w:tcPr>
            <w:tcW w:w="1235" w:type="dxa"/>
            <w:vAlign w:val="center"/>
          </w:tcPr>
          <w:p w14:paraId="18B317E6" w14:textId="0CB72C06"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29</w:t>
            </w:r>
          </w:p>
        </w:tc>
        <w:tc>
          <w:tcPr>
            <w:tcW w:w="1085" w:type="dxa"/>
            <w:vAlign w:val="center"/>
          </w:tcPr>
          <w:p w14:paraId="29A887AE" w14:textId="6F961BA3"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1258" w:type="dxa"/>
            <w:vAlign w:val="center"/>
          </w:tcPr>
          <w:p w14:paraId="4169EFBC" w14:textId="720B7E35"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037B5E">
              <w:rPr>
                <w:rFonts w:cs="Times New Roman"/>
                <w:color w:val="000000"/>
                <w:sz w:val="16"/>
                <w:szCs w:val="16"/>
              </w:rPr>
              <w:t>5</w:t>
            </w:r>
            <w:r w:rsidR="00383FFE">
              <w:rPr>
                <w:rFonts w:cs="Times New Roman"/>
                <w:color w:val="000000"/>
                <w:sz w:val="16"/>
                <w:szCs w:val="16"/>
              </w:rPr>
              <w:t>7</w:t>
            </w:r>
          </w:p>
        </w:tc>
        <w:tc>
          <w:tcPr>
            <w:tcW w:w="1011" w:type="dxa"/>
            <w:vAlign w:val="center"/>
          </w:tcPr>
          <w:p w14:paraId="181ECAC1" w14:textId="4127FE02" w:rsidR="00233441" w:rsidRPr="00037B5E" w:rsidRDefault="0075141E"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23</w:t>
            </w:r>
          </w:p>
        </w:tc>
        <w:tc>
          <w:tcPr>
            <w:tcW w:w="1012" w:type="dxa"/>
            <w:vAlign w:val="center"/>
          </w:tcPr>
          <w:p w14:paraId="7054FE37" w14:textId="6913193C" w:rsidR="00233441" w:rsidRPr="00037B5E" w:rsidRDefault="00233441" w:rsidP="0023344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21</w:t>
            </w:r>
          </w:p>
        </w:tc>
      </w:tr>
      <w:tr w:rsidR="00233441" w:rsidRPr="00037B5E" w14:paraId="4B3F5BC5" w14:textId="77777777" w:rsidTr="00C43D60">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216" w:type="dxa"/>
            <w:tcBorders>
              <w:top w:val="single" w:sz="4" w:space="0" w:color="auto"/>
            </w:tcBorders>
            <w:vAlign w:val="center"/>
          </w:tcPr>
          <w:p w14:paraId="478F863B" w14:textId="4252DEB8" w:rsidR="00233441" w:rsidRPr="00037B5E" w:rsidRDefault="00233441" w:rsidP="00233441">
            <w:pPr>
              <w:spacing w:line="240" w:lineRule="auto"/>
              <w:jc w:val="center"/>
              <w:rPr>
                <w:rFonts w:cs="Times New Roman"/>
                <w:sz w:val="16"/>
                <w:szCs w:val="16"/>
              </w:rPr>
            </w:pPr>
            <w:r w:rsidRPr="00037B5E">
              <w:rPr>
                <w:rFonts w:cs="Times New Roman"/>
                <w:sz w:val="16"/>
                <w:szCs w:val="16"/>
              </w:rPr>
              <w:t>Average</w:t>
            </w:r>
          </w:p>
        </w:tc>
        <w:tc>
          <w:tcPr>
            <w:tcW w:w="1414" w:type="dxa"/>
            <w:tcBorders>
              <w:top w:val="single" w:sz="4" w:space="0" w:color="auto"/>
            </w:tcBorders>
            <w:vAlign w:val="center"/>
          </w:tcPr>
          <w:p w14:paraId="681D718E" w14:textId="61648CB6"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50</w:t>
            </w:r>
          </w:p>
        </w:tc>
        <w:tc>
          <w:tcPr>
            <w:tcW w:w="1235" w:type="dxa"/>
            <w:tcBorders>
              <w:top w:val="single" w:sz="4" w:space="0" w:color="auto"/>
            </w:tcBorders>
            <w:vAlign w:val="center"/>
          </w:tcPr>
          <w:p w14:paraId="4C9A328C" w14:textId="1049D430"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11</w:t>
            </w:r>
          </w:p>
        </w:tc>
        <w:tc>
          <w:tcPr>
            <w:tcW w:w="1085" w:type="dxa"/>
            <w:tcBorders>
              <w:top w:val="single" w:sz="4" w:space="0" w:color="auto"/>
            </w:tcBorders>
            <w:vAlign w:val="center"/>
          </w:tcPr>
          <w:p w14:paraId="5291F628" w14:textId="732C4752"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w:t>
            </w:r>
          </w:p>
        </w:tc>
        <w:tc>
          <w:tcPr>
            <w:tcW w:w="1258" w:type="dxa"/>
            <w:tcBorders>
              <w:top w:val="single" w:sz="4" w:space="0" w:color="auto"/>
            </w:tcBorders>
            <w:vAlign w:val="center"/>
          </w:tcPr>
          <w:p w14:paraId="449D3971" w14:textId="750C7B34"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56</w:t>
            </w:r>
          </w:p>
        </w:tc>
        <w:tc>
          <w:tcPr>
            <w:tcW w:w="1011" w:type="dxa"/>
            <w:tcBorders>
              <w:top w:val="single" w:sz="4" w:space="0" w:color="auto"/>
            </w:tcBorders>
            <w:vAlign w:val="center"/>
          </w:tcPr>
          <w:p w14:paraId="5EB186E1" w14:textId="6AFF9504"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6</w:t>
            </w:r>
          </w:p>
        </w:tc>
        <w:tc>
          <w:tcPr>
            <w:tcW w:w="1012" w:type="dxa"/>
            <w:tcBorders>
              <w:top w:val="single" w:sz="4" w:space="0" w:color="auto"/>
            </w:tcBorders>
            <w:vAlign w:val="center"/>
          </w:tcPr>
          <w:p w14:paraId="5B9055FB" w14:textId="60913CFB" w:rsidR="00233441" w:rsidRPr="00037B5E" w:rsidRDefault="00B417F7" w:rsidP="00233441">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14</w:t>
            </w:r>
          </w:p>
        </w:tc>
      </w:tr>
    </w:tbl>
    <w:p w14:paraId="499E67E7" w14:textId="072189AF" w:rsidR="00037B5E" w:rsidRDefault="00037B5E" w:rsidP="00552A1A"/>
    <w:p w14:paraId="5410B4EB" w14:textId="2A76A43D" w:rsidR="00037B5E" w:rsidRPr="005642F2" w:rsidRDefault="0075141E" w:rsidP="00037B5E">
      <w:pPr>
        <w:pStyle w:val="Heading3"/>
      </w:pPr>
      <w:r>
        <w:t>Offseason</w:t>
      </w:r>
      <w:r w:rsidR="00037B5E" w:rsidRPr="005642F2">
        <w:t xml:space="preserve"> </w:t>
      </w:r>
      <w:r w:rsidR="00A3285A" w:rsidRPr="005642F2">
        <w:t>(Aug-</w:t>
      </w:r>
      <w:r w:rsidR="0086141C" w:rsidRPr="005642F2">
        <w:t>Nov</w:t>
      </w:r>
      <w:r w:rsidR="00A3285A" w:rsidRPr="005642F2">
        <w:t>) P dynamics in WLEB streams and rivers</w:t>
      </w:r>
    </w:p>
    <w:p w14:paraId="5162D3F9" w14:textId="2EAA7C4C" w:rsidR="00AF524C" w:rsidRDefault="005642F2" w:rsidP="00ED74D5">
      <w:pPr>
        <w:ind w:firstLine="720"/>
      </w:pPr>
      <w:r>
        <w:t xml:space="preserve">The P fluxes released during the </w:t>
      </w:r>
      <w:r w:rsidR="0075141E">
        <w:t>off</w:t>
      </w:r>
      <w:r w:rsidR="00AF524C">
        <w:t>season ranged from</w:t>
      </w:r>
      <w:r w:rsidR="00F02155">
        <w:t>12</w:t>
      </w:r>
      <w:r w:rsidR="00AF524C">
        <w:t xml:space="preserve"> to</w:t>
      </w:r>
      <w:r w:rsidR="00F02155">
        <w:t xml:space="preserve"> 17</w:t>
      </w:r>
      <w:r>
        <w:t xml:space="preserve">% of the annual SRP FN flux and </w:t>
      </w:r>
      <w:r w:rsidR="00F02155">
        <w:t xml:space="preserve">9 </w:t>
      </w:r>
      <w:r>
        <w:t xml:space="preserve">to </w:t>
      </w:r>
      <w:r w:rsidR="00F02155">
        <w:t>12</w:t>
      </w:r>
      <w:r>
        <w:t>% of the annual TP</w:t>
      </w:r>
      <w:r w:rsidR="00F02155">
        <w:t xml:space="preserve"> FN</w:t>
      </w:r>
      <w:r>
        <w:t xml:space="preserve"> flux (Table </w:t>
      </w:r>
      <w:r w:rsidR="00AF524C">
        <w:t>7</w:t>
      </w:r>
      <w:r>
        <w:t>).</w:t>
      </w:r>
      <w:r w:rsidR="00AF524C">
        <w:t xml:space="preserve"> Thus, the summer season encompasses the lowest P delivery from the WLEB.</w:t>
      </w:r>
      <w:r>
        <w:t xml:space="preserve"> From 2008-2022, trends in FN flux were upward </w:t>
      </w:r>
      <w:r w:rsidR="00AF524C">
        <w:t>at</w:t>
      </w:r>
      <w:r>
        <w:t xml:space="preserve"> every site for both SRP and TP</w:t>
      </w:r>
      <w:r w:rsidR="00AF524C">
        <w:t xml:space="preserve">. Furthermore, the percent changes during the summer season had the greatest magnitude of </w:t>
      </w:r>
    </w:p>
    <w:p w14:paraId="6578BC36" w14:textId="56493428" w:rsidR="00C43D60" w:rsidRPr="00C43D60" w:rsidRDefault="005642F2" w:rsidP="00ED74D5">
      <w:pPr>
        <w:ind w:firstLine="720"/>
      </w:pPr>
      <w:r>
        <w:t>Upward trends were slightly greater for TP than SRP (Table 4). Relative to the whole period, fall SRP FN flux upwards trends in recent years (from 2015-2022) have either weakened or become downward trends at all sites except for Sandusky. This widespread weakening of upward trends or even switches to downward trends indicates that current management practices may be reducing SRP losses during the fall seasons. However, this is not the case for fall TP FN fluxes, where three of the sites showed increasing upward trends, one site saw no difference in its upward trend, and only three sites showed weakening upward trends or switches to downward trends. These trends indicate that fall TP losses have been increasing in the basin.</w:t>
      </w:r>
    </w:p>
    <w:p w14:paraId="5B888251" w14:textId="766D7B04" w:rsidR="00C43D60" w:rsidRPr="00C43D60" w:rsidRDefault="00C43D60" w:rsidP="00C43D60">
      <w:pPr>
        <w:pStyle w:val="Caption"/>
      </w:pPr>
      <w:r>
        <w:t xml:space="preserve">Table </w:t>
      </w:r>
      <w:r w:rsidR="007D0C12">
        <w:t>8</w:t>
      </w:r>
      <w:r>
        <w:t>: Overview of SRP and TP FN fluxes during the summer season. The summer season lasted from 1 Aug through 30 Sep. FN flux trends are reported as the rate of percent change (%) over the period of interest. The percentage of annual FN Flux is the mean percentage of the FN flux released during the summer season from 2008-2022.</w:t>
      </w:r>
    </w:p>
    <w:tbl>
      <w:tblPr>
        <w:tblStyle w:val="PlainTable2"/>
        <w:tblW w:w="0" w:type="auto"/>
        <w:jc w:val="center"/>
        <w:tblLook w:val="04A0" w:firstRow="1" w:lastRow="0" w:firstColumn="1" w:lastColumn="0" w:noHBand="0" w:noVBand="1"/>
      </w:tblPr>
      <w:tblGrid>
        <w:gridCol w:w="1216"/>
        <w:gridCol w:w="1124"/>
        <w:gridCol w:w="1170"/>
        <w:gridCol w:w="1170"/>
        <w:gridCol w:w="1099"/>
        <w:gridCol w:w="1331"/>
        <w:gridCol w:w="1121"/>
      </w:tblGrid>
      <w:tr w:rsidR="0075141E" w:rsidRPr="00037B5E" w14:paraId="7843EE01" w14:textId="77777777" w:rsidTr="007B35EB">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Merge w:val="restart"/>
            <w:vAlign w:val="center"/>
          </w:tcPr>
          <w:p w14:paraId="5B3E5C65" w14:textId="77777777" w:rsidR="0075141E" w:rsidRPr="007B35EB" w:rsidRDefault="0075141E" w:rsidP="001424DD">
            <w:pPr>
              <w:spacing w:line="240" w:lineRule="auto"/>
              <w:jc w:val="center"/>
              <w:rPr>
                <w:rFonts w:cs="Times New Roman"/>
                <w:sz w:val="20"/>
                <w:szCs w:val="20"/>
              </w:rPr>
            </w:pPr>
            <w:r w:rsidRPr="007B35EB">
              <w:rPr>
                <w:rFonts w:cs="Times New Roman"/>
                <w:sz w:val="20"/>
                <w:szCs w:val="20"/>
              </w:rPr>
              <w:t>Sites</w:t>
            </w:r>
          </w:p>
        </w:tc>
        <w:tc>
          <w:tcPr>
            <w:tcW w:w="3464" w:type="dxa"/>
            <w:gridSpan w:val="3"/>
            <w:vAlign w:val="center"/>
          </w:tcPr>
          <w:p w14:paraId="026B775F" w14:textId="77777777" w:rsidR="0075141E" w:rsidRPr="007B35EB" w:rsidRDefault="0075141E" w:rsidP="001424DD">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SRP</w:t>
            </w:r>
          </w:p>
        </w:tc>
        <w:tc>
          <w:tcPr>
            <w:tcW w:w="3551" w:type="dxa"/>
            <w:gridSpan w:val="3"/>
            <w:vAlign w:val="center"/>
          </w:tcPr>
          <w:p w14:paraId="6FCF2178" w14:textId="77777777" w:rsidR="0075141E" w:rsidRPr="007B35EB" w:rsidRDefault="0075141E" w:rsidP="001424DD">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TP</w:t>
            </w:r>
          </w:p>
        </w:tc>
      </w:tr>
      <w:tr w:rsidR="0075141E" w:rsidRPr="00037B5E" w14:paraId="142F11BA" w14:textId="77777777" w:rsidTr="007B35EB">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610EA568" w14:textId="77777777" w:rsidR="0075141E" w:rsidRPr="007B35EB" w:rsidRDefault="0075141E" w:rsidP="001424DD">
            <w:pPr>
              <w:spacing w:line="240" w:lineRule="auto"/>
              <w:jc w:val="center"/>
              <w:rPr>
                <w:rFonts w:cs="Times New Roman"/>
                <w:sz w:val="20"/>
                <w:szCs w:val="20"/>
              </w:rPr>
            </w:pPr>
          </w:p>
        </w:tc>
        <w:tc>
          <w:tcPr>
            <w:tcW w:w="1124" w:type="dxa"/>
            <w:vMerge w:val="restart"/>
            <w:vAlign w:val="center"/>
          </w:tcPr>
          <w:p w14:paraId="09EC692A"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Percentage of annual FN trend</w:t>
            </w:r>
          </w:p>
        </w:tc>
        <w:tc>
          <w:tcPr>
            <w:tcW w:w="2340" w:type="dxa"/>
            <w:gridSpan w:val="2"/>
            <w:vAlign w:val="center"/>
          </w:tcPr>
          <w:p w14:paraId="4D8B36B1"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FN flux trends</w:t>
            </w:r>
          </w:p>
        </w:tc>
        <w:tc>
          <w:tcPr>
            <w:tcW w:w="1099" w:type="dxa"/>
            <w:vMerge w:val="restart"/>
            <w:vAlign w:val="center"/>
          </w:tcPr>
          <w:p w14:paraId="70BDF43F"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Percentage of annual FN trend</w:t>
            </w:r>
          </w:p>
        </w:tc>
        <w:tc>
          <w:tcPr>
            <w:tcW w:w="2452" w:type="dxa"/>
            <w:gridSpan w:val="2"/>
            <w:vAlign w:val="center"/>
          </w:tcPr>
          <w:p w14:paraId="42500DD2" w14:textId="77777777"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FN flux trends</w:t>
            </w:r>
          </w:p>
        </w:tc>
      </w:tr>
      <w:tr w:rsidR="0075141E" w:rsidRPr="00037B5E" w14:paraId="56D2DD4B" w14:textId="77777777" w:rsidTr="007B35EB">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Merge/>
            <w:vAlign w:val="center"/>
          </w:tcPr>
          <w:p w14:paraId="6CC7B747" w14:textId="77777777" w:rsidR="0075141E" w:rsidRPr="007B35EB" w:rsidRDefault="0075141E" w:rsidP="001424DD">
            <w:pPr>
              <w:spacing w:line="240" w:lineRule="auto"/>
              <w:jc w:val="center"/>
              <w:rPr>
                <w:rFonts w:cs="Times New Roman"/>
                <w:sz w:val="20"/>
                <w:szCs w:val="20"/>
              </w:rPr>
            </w:pPr>
          </w:p>
        </w:tc>
        <w:tc>
          <w:tcPr>
            <w:tcW w:w="1124" w:type="dxa"/>
            <w:vMerge/>
            <w:vAlign w:val="center"/>
          </w:tcPr>
          <w:p w14:paraId="44CF0D2A"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170" w:type="dxa"/>
            <w:vAlign w:val="center"/>
          </w:tcPr>
          <w:p w14:paraId="5638CD29"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2009-2015</w:t>
            </w:r>
          </w:p>
        </w:tc>
        <w:tc>
          <w:tcPr>
            <w:tcW w:w="1170" w:type="dxa"/>
            <w:vAlign w:val="center"/>
          </w:tcPr>
          <w:p w14:paraId="5C2393FB"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2015-2021</w:t>
            </w:r>
          </w:p>
        </w:tc>
        <w:tc>
          <w:tcPr>
            <w:tcW w:w="1099" w:type="dxa"/>
            <w:vMerge/>
            <w:vAlign w:val="center"/>
          </w:tcPr>
          <w:p w14:paraId="5BF0E836"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331" w:type="dxa"/>
            <w:vAlign w:val="center"/>
          </w:tcPr>
          <w:p w14:paraId="44094C43"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2009-2015</w:t>
            </w:r>
          </w:p>
        </w:tc>
        <w:tc>
          <w:tcPr>
            <w:tcW w:w="1121" w:type="dxa"/>
            <w:vAlign w:val="center"/>
          </w:tcPr>
          <w:p w14:paraId="33BF8EB7" w14:textId="77777777"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2015-2021</w:t>
            </w:r>
          </w:p>
        </w:tc>
      </w:tr>
      <w:tr w:rsidR="0075141E" w:rsidRPr="00037B5E" w14:paraId="4692B52E" w14:textId="77777777" w:rsidTr="007B35EB">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728065C7" w14:textId="77777777" w:rsidR="0075141E" w:rsidRPr="007B35EB" w:rsidRDefault="0075141E" w:rsidP="001424DD">
            <w:pPr>
              <w:spacing w:line="240" w:lineRule="auto"/>
              <w:rPr>
                <w:rFonts w:cs="Times New Roman"/>
                <w:sz w:val="20"/>
                <w:szCs w:val="20"/>
              </w:rPr>
            </w:pPr>
            <w:r w:rsidRPr="007B35EB">
              <w:rPr>
                <w:rFonts w:cs="Times New Roman"/>
                <w:sz w:val="20"/>
                <w:szCs w:val="20"/>
              </w:rPr>
              <w:t>Maumee</w:t>
            </w:r>
          </w:p>
        </w:tc>
        <w:tc>
          <w:tcPr>
            <w:tcW w:w="1124" w:type="dxa"/>
            <w:vAlign w:val="center"/>
          </w:tcPr>
          <w:p w14:paraId="42CD73D6" w14:textId="305E2B7B" w:rsidR="0075141E" w:rsidRPr="007B35EB" w:rsidRDefault="00FF147A"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7B35EB">
              <w:rPr>
                <w:rFonts w:cs="Times New Roman"/>
                <w:color w:val="000000"/>
                <w:sz w:val="20"/>
                <w:szCs w:val="20"/>
              </w:rPr>
              <w:t>12</w:t>
            </w:r>
          </w:p>
        </w:tc>
        <w:tc>
          <w:tcPr>
            <w:tcW w:w="1170" w:type="dxa"/>
            <w:vAlign w:val="center"/>
          </w:tcPr>
          <w:p w14:paraId="5EE1ABFC" w14:textId="736EDA22"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14</w:t>
            </w:r>
          </w:p>
        </w:tc>
        <w:tc>
          <w:tcPr>
            <w:tcW w:w="1170" w:type="dxa"/>
            <w:vAlign w:val="center"/>
          </w:tcPr>
          <w:p w14:paraId="128FDB2F" w14:textId="19924A09"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4</w:t>
            </w:r>
          </w:p>
        </w:tc>
        <w:tc>
          <w:tcPr>
            <w:tcW w:w="1099" w:type="dxa"/>
            <w:vAlign w:val="center"/>
          </w:tcPr>
          <w:p w14:paraId="33D85E7C" w14:textId="3A642F43" w:rsidR="0075141E" w:rsidRPr="007B35EB" w:rsidRDefault="00383FF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7B35EB">
              <w:rPr>
                <w:rFonts w:cs="Times New Roman"/>
                <w:color w:val="000000"/>
                <w:sz w:val="20"/>
                <w:szCs w:val="20"/>
              </w:rPr>
              <w:t>9</w:t>
            </w:r>
          </w:p>
        </w:tc>
        <w:tc>
          <w:tcPr>
            <w:tcW w:w="1331" w:type="dxa"/>
            <w:vAlign w:val="center"/>
          </w:tcPr>
          <w:p w14:paraId="0EAD8EAC" w14:textId="3700A2EF"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c>
          <w:tcPr>
            <w:tcW w:w="1121" w:type="dxa"/>
            <w:vAlign w:val="center"/>
          </w:tcPr>
          <w:p w14:paraId="334704DF" w14:textId="4DFC961F"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6</w:t>
            </w:r>
          </w:p>
        </w:tc>
      </w:tr>
      <w:tr w:rsidR="0075141E" w:rsidRPr="00037B5E" w14:paraId="0A916354" w14:textId="77777777" w:rsidTr="007B35EB">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53D7B35" w14:textId="77777777" w:rsidR="0075141E" w:rsidRPr="007B35EB" w:rsidRDefault="0075141E" w:rsidP="001424DD">
            <w:pPr>
              <w:spacing w:line="240" w:lineRule="auto"/>
              <w:rPr>
                <w:rFonts w:cs="Times New Roman"/>
                <w:sz w:val="20"/>
                <w:szCs w:val="20"/>
              </w:rPr>
            </w:pPr>
            <w:r w:rsidRPr="007B35EB">
              <w:rPr>
                <w:rFonts w:cs="Times New Roman"/>
                <w:sz w:val="20"/>
                <w:szCs w:val="20"/>
              </w:rPr>
              <w:t xml:space="preserve">   Tiffin</w:t>
            </w:r>
          </w:p>
        </w:tc>
        <w:tc>
          <w:tcPr>
            <w:tcW w:w="1124" w:type="dxa"/>
            <w:vAlign w:val="center"/>
          </w:tcPr>
          <w:p w14:paraId="22AC5D66" w14:textId="2E6416C9" w:rsidR="0075141E" w:rsidRPr="007B35EB" w:rsidRDefault="00FF147A"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15</w:t>
            </w:r>
          </w:p>
        </w:tc>
        <w:tc>
          <w:tcPr>
            <w:tcW w:w="1170" w:type="dxa"/>
            <w:vAlign w:val="center"/>
          </w:tcPr>
          <w:p w14:paraId="4987CDEC" w14:textId="3E06A981"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23</w:t>
            </w:r>
          </w:p>
        </w:tc>
        <w:tc>
          <w:tcPr>
            <w:tcW w:w="1170" w:type="dxa"/>
            <w:vAlign w:val="center"/>
          </w:tcPr>
          <w:p w14:paraId="79F3B597" w14:textId="75D07121"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-20</w:t>
            </w:r>
          </w:p>
        </w:tc>
        <w:tc>
          <w:tcPr>
            <w:tcW w:w="1099" w:type="dxa"/>
            <w:vAlign w:val="center"/>
          </w:tcPr>
          <w:p w14:paraId="158A606A" w14:textId="37595FBD" w:rsidR="0075141E" w:rsidRPr="007B35EB" w:rsidRDefault="00383FF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12</w:t>
            </w:r>
          </w:p>
        </w:tc>
        <w:tc>
          <w:tcPr>
            <w:tcW w:w="1331" w:type="dxa"/>
            <w:vAlign w:val="center"/>
          </w:tcPr>
          <w:p w14:paraId="78A16E0A" w14:textId="3AC75851"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22</w:t>
            </w:r>
          </w:p>
        </w:tc>
        <w:tc>
          <w:tcPr>
            <w:tcW w:w="1121" w:type="dxa"/>
            <w:vAlign w:val="center"/>
          </w:tcPr>
          <w:p w14:paraId="640763ED" w14:textId="0E253D09"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-12</w:t>
            </w:r>
          </w:p>
        </w:tc>
      </w:tr>
      <w:tr w:rsidR="0075141E" w:rsidRPr="00037B5E" w14:paraId="1038088C" w14:textId="77777777" w:rsidTr="007B35EB">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069C3408" w14:textId="18CB2D14" w:rsidR="0075141E" w:rsidRPr="007B35EB" w:rsidRDefault="0075141E" w:rsidP="001424DD">
            <w:pPr>
              <w:spacing w:line="240" w:lineRule="auto"/>
              <w:rPr>
                <w:rFonts w:cs="Times New Roman"/>
                <w:sz w:val="20"/>
                <w:szCs w:val="20"/>
              </w:rPr>
            </w:pPr>
            <w:r w:rsidRPr="007B35EB">
              <w:rPr>
                <w:rFonts w:cs="Times New Roman"/>
                <w:sz w:val="20"/>
                <w:szCs w:val="20"/>
              </w:rPr>
              <w:t xml:space="preserve"> Blanchard</w:t>
            </w:r>
          </w:p>
        </w:tc>
        <w:tc>
          <w:tcPr>
            <w:tcW w:w="1124" w:type="dxa"/>
            <w:vAlign w:val="center"/>
          </w:tcPr>
          <w:p w14:paraId="3184D852" w14:textId="128D48B4" w:rsidR="0075141E" w:rsidRPr="007B35EB" w:rsidRDefault="00FF147A"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17</w:t>
            </w:r>
          </w:p>
        </w:tc>
        <w:tc>
          <w:tcPr>
            <w:tcW w:w="1170" w:type="dxa"/>
            <w:vAlign w:val="center"/>
          </w:tcPr>
          <w:p w14:paraId="506B8B38" w14:textId="72082DEC"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23</w:t>
            </w:r>
          </w:p>
        </w:tc>
        <w:tc>
          <w:tcPr>
            <w:tcW w:w="1170" w:type="dxa"/>
            <w:vAlign w:val="center"/>
          </w:tcPr>
          <w:p w14:paraId="48C8BD7B" w14:textId="4E7DE268"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12</w:t>
            </w:r>
          </w:p>
        </w:tc>
        <w:tc>
          <w:tcPr>
            <w:tcW w:w="1099" w:type="dxa"/>
            <w:vAlign w:val="center"/>
          </w:tcPr>
          <w:p w14:paraId="581A053A" w14:textId="666A38FD" w:rsidR="0075141E" w:rsidRPr="007B35EB" w:rsidRDefault="00383FF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c>
          <w:tcPr>
            <w:tcW w:w="1331" w:type="dxa"/>
            <w:vAlign w:val="center"/>
          </w:tcPr>
          <w:p w14:paraId="79477156" w14:textId="23AADE13"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12</w:t>
            </w:r>
          </w:p>
        </w:tc>
        <w:tc>
          <w:tcPr>
            <w:tcW w:w="1121" w:type="dxa"/>
            <w:vAlign w:val="center"/>
          </w:tcPr>
          <w:p w14:paraId="44D3E654" w14:textId="22F27F4F"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20</w:t>
            </w:r>
          </w:p>
        </w:tc>
      </w:tr>
      <w:tr w:rsidR="0075141E" w:rsidRPr="00037B5E" w14:paraId="206B4BD0" w14:textId="77777777" w:rsidTr="007B35EB">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50ACA924" w14:textId="77777777" w:rsidR="0075141E" w:rsidRPr="007B35EB" w:rsidRDefault="0075141E" w:rsidP="001424DD">
            <w:pPr>
              <w:spacing w:line="240" w:lineRule="auto"/>
              <w:rPr>
                <w:rFonts w:cs="Times New Roman"/>
                <w:sz w:val="20"/>
                <w:szCs w:val="20"/>
              </w:rPr>
            </w:pPr>
            <w:r w:rsidRPr="007B35EB">
              <w:rPr>
                <w:rFonts w:cs="Times New Roman"/>
                <w:sz w:val="20"/>
                <w:szCs w:val="20"/>
              </w:rPr>
              <w:t>Sandusky</w:t>
            </w:r>
          </w:p>
        </w:tc>
        <w:tc>
          <w:tcPr>
            <w:tcW w:w="1124" w:type="dxa"/>
            <w:vAlign w:val="center"/>
          </w:tcPr>
          <w:p w14:paraId="0AE1B275" w14:textId="7603B9FC" w:rsidR="0075141E" w:rsidRPr="007B35EB" w:rsidRDefault="00FF147A"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14</w:t>
            </w:r>
          </w:p>
        </w:tc>
        <w:tc>
          <w:tcPr>
            <w:tcW w:w="1170" w:type="dxa"/>
            <w:vAlign w:val="center"/>
          </w:tcPr>
          <w:p w14:paraId="0F87E6F5" w14:textId="4B9FC4AE"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12</w:t>
            </w:r>
          </w:p>
        </w:tc>
        <w:tc>
          <w:tcPr>
            <w:tcW w:w="1170" w:type="dxa"/>
            <w:vAlign w:val="center"/>
          </w:tcPr>
          <w:p w14:paraId="6BB3FE2C" w14:textId="5ADD135B"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19</w:t>
            </w:r>
          </w:p>
        </w:tc>
        <w:tc>
          <w:tcPr>
            <w:tcW w:w="1099" w:type="dxa"/>
            <w:vAlign w:val="center"/>
          </w:tcPr>
          <w:p w14:paraId="732ACE86" w14:textId="27076FD9" w:rsidR="0075141E" w:rsidRPr="007B35EB" w:rsidRDefault="00383FF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10</w:t>
            </w:r>
          </w:p>
        </w:tc>
        <w:tc>
          <w:tcPr>
            <w:tcW w:w="1331" w:type="dxa"/>
            <w:vAlign w:val="center"/>
          </w:tcPr>
          <w:p w14:paraId="4C41E44A" w14:textId="0AF2FE3F"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12</w:t>
            </w:r>
          </w:p>
        </w:tc>
        <w:tc>
          <w:tcPr>
            <w:tcW w:w="1121" w:type="dxa"/>
            <w:vAlign w:val="center"/>
          </w:tcPr>
          <w:p w14:paraId="16DFBD3B" w14:textId="5300EDBB"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38</w:t>
            </w:r>
          </w:p>
        </w:tc>
      </w:tr>
      <w:tr w:rsidR="0075141E" w:rsidRPr="00037B5E" w14:paraId="64065B8A" w14:textId="77777777" w:rsidTr="007B35EB">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4F483A10" w14:textId="77777777" w:rsidR="0075141E" w:rsidRPr="007B35EB" w:rsidRDefault="0075141E" w:rsidP="001424DD">
            <w:pPr>
              <w:spacing w:line="240" w:lineRule="auto"/>
              <w:rPr>
                <w:rFonts w:cs="Times New Roman"/>
                <w:sz w:val="20"/>
                <w:szCs w:val="20"/>
              </w:rPr>
            </w:pPr>
            <w:r w:rsidRPr="007B35EB">
              <w:rPr>
                <w:rFonts w:cs="Times New Roman"/>
                <w:sz w:val="20"/>
                <w:szCs w:val="20"/>
              </w:rPr>
              <w:t xml:space="preserve">   Honey</w:t>
            </w:r>
          </w:p>
        </w:tc>
        <w:tc>
          <w:tcPr>
            <w:tcW w:w="1124" w:type="dxa"/>
            <w:vAlign w:val="center"/>
          </w:tcPr>
          <w:p w14:paraId="20E846F0" w14:textId="75D126B3" w:rsidR="0075141E" w:rsidRPr="007B35EB" w:rsidRDefault="00FF147A"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17</w:t>
            </w:r>
          </w:p>
        </w:tc>
        <w:tc>
          <w:tcPr>
            <w:tcW w:w="1170" w:type="dxa"/>
            <w:vAlign w:val="center"/>
          </w:tcPr>
          <w:p w14:paraId="09F637D6" w14:textId="4ED0A98B"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w:t>
            </w:r>
          </w:p>
        </w:tc>
        <w:tc>
          <w:tcPr>
            <w:tcW w:w="1170" w:type="dxa"/>
            <w:vAlign w:val="center"/>
          </w:tcPr>
          <w:p w14:paraId="45C8CDA1" w14:textId="6E3C7341"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w:t>
            </w:r>
          </w:p>
        </w:tc>
        <w:tc>
          <w:tcPr>
            <w:tcW w:w="1099" w:type="dxa"/>
            <w:vAlign w:val="center"/>
          </w:tcPr>
          <w:p w14:paraId="43857EDE" w14:textId="2764FBEB" w:rsidR="0075141E" w:rsidRPr="007B35EB" w:rsidRDefault="00383FF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c>
          <w:tcPr>
            <w:tcW w:w="1331" w:type="dxa"/>
            <w:vAlign w:val="center"/>
          </w:tcPr>
          <w:p w14:paraId="7360DB45" w14:textId="2710656B"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7</w:t>
            </w:r>
          </w:p>
        </w:tc>
        <w:tc>
          <w:tcPr>
            <w:tcW w:w="1121" w:type="dxa"/>
            <w:vAlign w:val="center"/>
          </w:tcPr>
          <w:p w14:paraId="65C8D0FD" w14:textId="39AAE043" w:rsidR="0075141E" w:rsidRPr="007B35EB" w:rsidRDefault="0075141E"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18</w:t>
            </w:r>
          </w:p>
        </w:tc>
      </w:tr>
      <w:tr w:rsidR="0075141E" w:rsidRPr="00037B5E" w14:paraId="702CCB25" w14:textId="77777777" w:rsidTr="007B35EB">
        <w:trPr>
          <w:trHeight w:val="257"/>
          <w:jc w:val="center"/>
        </w:trPr>
        <w:tc>
          <w:tcPr>
            <w:cnfStyle w:val="001000000000" w:firstRow="0" w:lastRow="0" w:firstColumn="1" w:lastColumn="0" w:oddVBand="0" w:evenVBand="0" w:oddHBand="0" w:evenHBand="0" w:firstRowFirstColumn="0" w:firstRowLastColumn="0" w:lastRowFirstColumn="0" w:lastRowLastColumn="0"/>
            <w:tcW w:w="1216" w:type="dxa"/>
            <w:vAlign w:val="center"/>
          </w:tcPr>
          <w:p w14:paraId="62F2B0F8" w14:textId="77777777" w:rsidR="0075141E" w:rsidRPr="007B35EB" w:rsidRDefault="0075141E" w:rsidP="001424DD">
            <w:pPr>
              <w:spacing w:line="240" w:lineRule="auto"/>
              <w:rPr>
                <w:rFonts w:cs="Times New Roman"/>
                <w:sz w:val="20"/>
                <w:szCs w:val="20"/>
              </w:rPr>
            </w:pPr>
            <w:r w:rsidRPr="007B35EB">
              <w:rPr>
                <w:rFonts w:cs="Times New Roman"/>
                <w:sz w:val="20"/>
                <w:szCs w:val="20"/>
              </w:rPr>
              <w:t>Raisin</w:t>
            </w:r>
          </w:p>
        </w:tc>
        <w:tc>
          <w:tcPr>
            <w:tcW w:w="1124" w:type="dxa"/>
            <w:vAlign w:val="center"/>
          </w:tcPr>
          <w:p w14:paraId="137C1341" w14:textId="255DCF2E" w:rsidR="0075141E" w:rsidRPr="007B35EB" w:rsidRDefault="00FF147A"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17</w:t>
            </w:r>
          </w:p>
        </w:tc>
        <w:tc>
          <w:tcPr>
            <w:tcW w:w="1170" w:type="dxa"/>
            <w:vAlign w:val="center"/>
          </w:tcPr>
          <w:p w14:paraId="19FB7371" w14:textId="7A5C4C14"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39</w:t>
            </w:r>
          </w:p>
        </w:tc>
        <w:tc>
          <w:tcPr>
            <w:tcW w:w="1170" w:type="dxa"/>
            <w:vAlign w:val="center"/>
          </w:tcPr>
          <w:p w14:paraId="5E886CD2" w14:textId="201E85B8"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4</w:t>
            </w:r>
          </w:p>
        </w:tc>
        <w:tc>
          <w:tcPr>
            <w:tcW w:w="1099" w:type="dxa"/>
            <w:vAlign w:val="center"/>
          </w:tcPr>
          <w:p w14:paraId="32C3AC07" w14:textId="5E0DF045" w:rsidR="0075141E" w:rsidRPr="007B35EB" w:rsidRDefault="00383FF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11</w:t>
            </w:r>
          </w:p>
        </w:tc>
        <w:tc>
          <w:tcPr>
            <w:tcW w:w="1331" w:type="dxa"/>
            <w:vAlign w:val="center"/>
          </w:tcPr>
          <w:p w14:paraId="17AB4610" w14:textId="5E7A6C1C"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33</w:t>
            </w:r>
          </w:p>
        </w:tc>
        <w:tc>
          <w:tcPr>
            <w:tcW w:w="1121" w:type="dxa"/>
            <w:vAlign w:val="center"/>
          </w:tcPr>
          <w:p w14:paraId="20AB8C29" w14:textId="684A78EC" w:rsidR="0075141E" w:rsidRPr="007B35EB" w:rsidRDefault="0075141E" w:rsidP="001424DD">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B35EB">
              <w:rPr>
                <w:rFonts w:cs="Times New Roman"/>
                <w:sz w:val="20"/>
                <w:szCs w:val="20"/>
              </w:rPr>
              <w:t>-2</w:t>
            </w:r>
          </w:p>
        </w:tc>
      </w:tr>
      <w:tr w:rsidR="0075141E" w:rsidRPr="00037B5E" w14:paraId="499316F5" w14:textId="77777777" w:rsidTr="007B35EB">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216" w:type="dxa"/>
            <w:tcBorders>
              <w:top w:val="single" w:sz="4" w:space="0" w:color="auto"/>
            </w:tcBorders>
            <w:vAlign w:val="center"/>
          </w:tcPr>
          <w:p w14:paraId="017A4ADF" w14:textId="77777777" w:rsidR="0075141E" w:rsidRPr="007B35EB" w:rsidRDefault="0075141E" w:rsidP="001424DD">
            <w:pPr>
              <w:spacing w:line="240" w:lineRule="auto"/>
              <w:jc w:val="center"/>
              <w:rPr>
                <w:rFonts w:cs="Times New Roman"/>
                <w:sz w:val="20"/>
                <w:szCs w:val="20"/>
              </w:rPr>
            </w:pPr>
            <w:r w:rsidRPr="007B35EB">
              <w:rPr>
                <w:rFonts w:cs="Times New Roman"/>
                <w:sz w:val="20"/>
                <w:szCs w:val="20"/>
              </w:rPr>
              <w:t>Average</w:t>
            </w:r>
          </w:p>
        </w:tc>
        <w:tc>
          <w:tcPr>
            <w:tcW w:w="1124" w:type="dxa"/>
            <w:tcBorders>
              <w:top w:val="single" w:sz="4" w:space="0" w:color="auto"/>
            </w:tcBorders>
            <w:vAlign w:val="center"/>
          </w:tcPr>
          <w:p w14:paraId="4B970D60" w14:textId="480ABA3E"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15</w:t>
            </w:r>
          </w:p>
        </w:tc>
        <w:tc>
          <w:tcPr>
            <w:tcW w:w="1170" w:type="dxa"/>
            <w:tcBorders>
              <w:top w:val="single" w:sz="4" w:space="0" w:color="auto"/>
            </w:tcBorders>
            <w:vAlign w:val="center"/>
          </w:tcPr>
          <w:p w14:paraId="7CE8F6D6" w14:textId="2C0739D3"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18</w:t>
            </w:r>
          </w:p>
        </w:tc>
        <w:tc>
          <w:tcPr>
            <w:tcW w:w="1170" w:type="dxa"/>
            <w:tcBorders>
              <w:top w:val="single" w:sz="4" w:space="0" w:color="auto"/>
            </w:tcBorders>
            <w:vAlign w:val="center"/>
          </w:tcPr>
          <w:p w14:paraId="105268AE" w14:textId="01E0AC10"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3</w:t>
            </w:r>
          </w:p>
        </w:tc>
        <w:tc>
          <w:tcPr>
            <w:tcW w:w="1099" w:type="dxa"/>
            <w:tcBorders>
              <w:top w:val="single" w:sz="4" w:space="0" w:color="auto"/>
            </w:tcBorders>
            <w:vAlign w:val="center"/>
          </w:tcPr>
          <w:p w14:paraId="44869548" w14:textId="3651DBAC"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c>
          <w:tcPr>
            <w:tcW w:w="1331" w:type="dxa"/>
            <w:tcBorders>
              <w:top w:val="single" w:sz="4" w:space="0" w:color="auto"/>
            </w:tcBorders>
            <w:vAlign w:val="center"/>
          </w:tcPr>
          <w:p w14:paraId="7A19BC3A" w14:textId="7496BCA4"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16</w:t>
            </w:r>
          </w:p>
        </w:tc>
        <w:tc>
          <w:tcPr>
            <w:tcW w:w="1121" w:type="dxa"/>
            <w:tcBorders>
              <w:top w:val="single" w:sz="4" w:space="0" w:color="auto"/>
            </w:tcBorders>
            <w:vAlign w:val="center"/>
          </w:tcPr>
          <w:p w14:paraId="4856EB71" w14:textId="78165972" w:rsidR="0075141E" w:rsidRPr="007B35EB" w:rsidRDefault="00B417F7" w:rsidP="001424D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B35EB">
              <w:rPr>
                <w:rFonts w:cs="Times New Roman"/>
                <w:sz w:val="20"/>
                <w:szCs w:val="20"/>
              </w:rPr>
              <w:t>11</w:t>
            </w:r>
          </w:p>
        </w:tc>
      </w:tr>
    </w:tbl>
    <w:p w14:paraId="4DDD9AA3" w14:textId="77777777" w:rsidR="00ED74D5" w:rsidRPr="00BF765F" w:rsidRDefault="00ED74D5" w:rsidP="00BF765F"/>
    <w:p w14:paraId="4383E53E" w14:textId="53EE5A82" w:rsidR="00C940D8" w:rsidRDefault="00BF765F" w:rsidP="00BF765F">
      <w:pPr>
        <w:pStyle w:val="Heading3"/>
      </w:pPr>
      <w:r>
        <w:t xml:space="preserve">Influential seasons on trend dynamics </w:t>
      </w:r>
    </w:p>
    <w:p w14:paraId="38830EAA" w14:textId="3838CF45" w:rsidR="00A3285A" w:rsidRPr="00A27493" w:rsidRDefault="00A3285A" w:rsidP="00A3285A">
      <w:pPr>
        <w:ind w:firstLine="720"/>
      </w:pPr>
      <w:r>
        <w:t xml:space="preserve">For SRP, the winter season (Dec - Feb) trends were generally lower than the annual fluxes indicating that winter SRP losses either mediated upward annual trends or strengthened downward annual trends. Alternatively, the summer season (Aug-Sep) trends were generally greater than the annual trend, indicating that summer SRP losses have been increasing across the basin and may be a driving force some the upward annual SRP trends in the WLEB. Additionally, the fall season (Oct – Nov) was also generally greater than annual trends, especially at the Blanchard and Maumee sites. With the size of the Maumee watershed, this which indicated that these were also drivers of  and spring (Mar – July) seasons </w:t>
      </w:r>
    </w:p>
    <w:p w14:paraId="4E23DB02" w14:textId="627EDCDC" w:rsidR="0078110D" w:rsidRPr="00FA05EC" w:rsidRDefault="0078110D" w:rsidP="00FA05EC"/>
    <w:p w14:paraId="526A625C" w14:textId="07AFE261" w:rsidR="006976C7" w:rsidRPr="006976C7" w:rsidRDefault="00450C40" w:rsidP="00B24DA9">
      <w:pPr>
        <w:pStyle w:val="Heading2"/>
      </w:pPr>
      <w:r>
        <w:t>Nutrient Application Rules</w:t>
      </w:r>
    </w:p>
    <w:p w14:paraId="274ABF9A" w14:textId="77777777" w:rsidR="00B24DA9" w:rsidRDefault="00B24DA9" w:rsidP="00B24DA9">
      <w:pPr>
        <w:pStyle w:val="Heading2"/>
      </w:pPr>
      <w:r>
        <w:t>Potential influence of watershed characteristics</w:t>
      </w:r>
    </w:p>
    <w:p w14:paraId="77EB50DF" w14:textId="6F40E2D4" w:rsidR="005B122A" w:rsidRDefault="005B122A" w:rsidP="00B24DA9">
      <w:pPr>
        <w:pStyle w:val="Heading3"/>
      </w:pPr>
      <w:r w:rsidRPr="00B24DA9">
        <w:t>Blanchard</w:t>
      </w:r>
      <w:r>
        <w:t xml:space="preserve"> </w:t>
      </w:r>
    </w:p>
    <w:p w14:paraId="7AF88DE4" w14:textId="2F83411A" w:rsidR="00450C40" w:rsidRPr="00450C40" w:rsidRDefault="00450C40" w:rsidP="00450C40">
      <w:pPr>
        <w:pStyle w:val="Heading3"/>
      </w:pPr>
      <w:r>
        <w:t>Livestock populations in the counties</w:t>
      </w:r>
    </w:p>
    <w:p w14:paraId="37911A1F" w14:textId="77777777" w:rsidR="00BB60DF" w:rsidRPr="00BB60DF" w:rsidRDefault="00BB60DF" w:rsidP="00BB60DF"/>
    <w:p w14:paraId="15C25193" w14:textId="387BEBD3" w:rsidR="00C5354B" w:rsidRDefault="00BB60DF" w:rsidP="00BB60DF">
      <w:pPr>
        <w:pStyle w:val="Heading1"/>
      </w:pPr>
      <w:r>
        <w:t>Conclusion</w:t>
      </w:r>
    </w:p>
    <w:p w14:paraId="0512BCAC" w14:textId="77777777" w:rsidR="00134E80" w:rsidRPr="00134E80" w:rsidRDefault="00134E80" w:rsidP="00134E80"/>
    <w:p w14:paraId="4141AFF2" w14:textId="77777777" w:rsidR="00134E80" w:rsidRDefault="00134E80">
      <w:pPr>
        <w:rPr>
          <w:rFonts w:eastAsiaTheme="majorEastAsia" w:cstheme="majorBidi"/>
          <w:b/>
          <w:sz w:val="32"/>
          <w:szCs w:val="32"/>
        </w:rPr>
      </w:pPr>
      <w:r>
        <w:br w:type="page"/>
      </w:r>
    </w:p>
    <w:p w14:paraId="724C600D" w14:textId="77777777" w:rsidR="00134E80" w:rsidRDefault="00134E80" w:rsidP="00134E80">
      <w:pPr>
        <w:pStyle w:val="Heading1"/>
        <w:numPr>
          <w:ilvl w:val="0"/>
          <w:numId w:val="0"/>
        </w:numPr>
        <w:ind w:left="432" w:hanging="432"/>
      </w:pPr>
      <w:r>
        <w:t>References</w:t>
      </w:r>
    </w:p>
    <w:p w14:paraId="31D81BF4" w14:textId="77777777" w:rsidR="007E4D23" w:rsidRPr="007E4D23" w:rsidRDefault="00001EA6" w:rsidP="007E4D23">
      <w:pPr>
        <w:pStyle w:val="EndNoteBibliography"/>
        <w:spacing w:after="0"/>
        <w:ind w:left="720" w:hanging="720"/>
      </w:pPr>
      <w:r>
        <w:rPr>
          <w:rFonts w:ascii="Calibri Light" w:hAnsi="Calibri Light" w:cs="Calibri Light"/>
        </w:rPr>
        <w:fldChar w:fldCharType="begin"/>
      </w:r>
      <w:r>
        <w:instrText xml:space="preserve"> ADDIN EN.REFLIST </w:instrText>
      </w:r>
      <w:r>
        <w:rPr>
          <w:rFonts w:ascii="Calibri Light" w:hAnsi="Calibri Light" w:cs="Calibri Light"/>
        </w:rPr>
        <w:fldChar w:fldCharType="separate"/>
      </w:r>
      <w:r w:rsidR="007E4D23" w:rsidRPr="007E4D23">
        <w:t xml:space="preserve">Annex 4. (2015). </w:t>
      </w:r>
      <w:r w:rsidR="007E4D23" w:rsidRPr="007E4D23">
        <w:rPr>
          <w:i/>
        </w:rPr>
        <w:t>Recommended phosphorus loading targets for Lake Erie. Annex 4 Objectives and Targets Task Team Final Report to the Nutrients Annex Subcommittee</w:t>
      </w:r>
      <w:r w:rsidR="007E4D23" w:rsidRPr="007E4D23">
        <w:t xml:space="preserve">. </w:t>
      </w:r>
    </w:p>
    <w:p w14:paraId="4CE99970" w14:textId="1C193773" w:rsidR="007E4D23" w:rsidRPr="007E4D23" w:rsidRDefault="007E4D23" w:rsidP="007E4D23">
      <w:pPr>
        <w:pStyle w:val="EndNoteBibliography"/>
        <w:spacing w:after="0"/>
        <w:ind w:left="720" w:hanging="720"/>
      </w:pPr>
      <w:r w:rsidRPr="007E4D23">
        <w:t xml:space="preserve">Baker, D. B., Confesor, R., Ewing, D. E., Johnson, L. T., Kramer, J. W., &amp; Merryfield, B. J. (2014). Phosphorus loading to Lake Erie from the Maumee, Sandusky and Cuyahoga rivers: The importance of bioavailability. </w:t>
      </w:r>
      <w:r w:rsidRPr="007E4D23">
        <w:rPr>
          <w:i/>
        </w:rPr>
        <w:t>Journal of Great Lakes Research, 40</w:t>
      </w:r>
      <w:r w:rsidRPr="007E4D23">
        <w:t>(3), 502-517. doi:</w:t>
      </w:r>
      <w:hyperlink r:id="rId11" w:history="1">
        <w:r w:rsidRPr="007E4D23">
          <w:rPr>
            <w:rStyle w:val="Hyperlink"/>
          </w:rPr>
          <w:t>https://doi.org/10.1016/j.jglr.2014.05.001</w:t>
        </w:r>
      </w:hyperlink>
    </w:p>
    <w:p w14:paraId="02606DB8" w14:textId="4962F1A4" w:rsidR="007E4D23" w:rsidRPr="007E4D23" w:rsidRDefault="007E4D23" w:rsidP="007E4D23">
      <w:pPr>
        <w:pStyle w:val="EndNoteBibliography"/>
        <w:spacing w:after="0"/>
        <w:ind w:left="720" w:hanging="720"/>
      </w:pPr>
      <w:r w:rsidRPr="007E4D23">
        <w:t xml:space="preserve">Choquette, A. F., Hirsch, R. M., Murphy, J. C., Johnson, L. T., &amp; Confesor, R. B. (2019). Tracking changes in nutrient delivery to western Lake Erie: Approaches to compensate for variability and trends in streamflow. </w:t>
      </w:r>
      <w:r w:rsidRPr="007E4D23">
        <w:rPr>
          <w:i/>
        </w:rPr>
        <w:t>Journal of Great Lakes Research, 45</w:t>
      </w:r>
      <w:r w:rsidRPr="007E4D23">
        <w:t>(1), 21-39. doi:</w:t>
      </w:r>
      <w:hyperlink r:id="rId12" w:history="1">
        <w:r w:rsidRPr="007E4D23">
          <w:rPr>
            <w:rStyle w:val="Hyperlink"/>
          </w:rPr>
          <w:t>https://doi.org/10.1016/j.jglr.2018.11.012</w:t>
        </w:r>
      </w:hyperlink>
    </w:p>
    <w:p w14:paraId="5E790B08" w14:textId="7B4E5F44" w:rsidR="007E4D23" w:rsidRPr="007E4D23" w:rsidRDefault="007E4D23" w:rsidP="007E4D23">
      <w:pPr>
        <w:pStyle w:val="EndNoteBibliography"/>
        <w:spacing w:after="0"/>
        <w:ind w:left="720" w:hanging="720"/>
      </w:pPr>
      <w:r w:rsidRPr="007E4D23">
        <w:t xml:space="preserve">Hicks, M. B., Crain, A. S., &amp; Segrest, N. G. (2023). </w:t>
      </w:r>
      <w:r w:rsidRPr="007E4D23">
        <w:rPr>
          <w:i/>
        </w:rPr>
        <w:t>Status and trends of total nitrogen and total phosphorus concentrations, loads, and yields in streams of Mississippi, water years 2008–18</w:t>
      </w:r>
      <w:r w:rsidRPr="007E4D23">
        <w:t xml:space="preserve"> (2023-5003). Retrieved from Reston, VA: </w:t>
      </w:r>
      <w:hyperlink r:id="rId13" w:history="1">
        <w:r w:rsidRPr="007E4D23">
          <w:rPr>
            <w:rStyle w:val="Hyperlink"/>
          </w:rPr>
          <w:t>http://pubs.er.usgs.gov/publication/sir20235003</w:t>
        </w:r>
      </w:hyperlink>
    </w:p>
    <w:p w14:paraId="2E6A73DC" w14:textId="64F3C7A0" w:rsidR="007E4D23" w:rsidRPr="007E4D23" w:rsidRDefault="007E4D23" w:rsidP="007E4D23">
      <w:pPr>
        <w:pStyle w:val="EndNoteBibliography"/>
        <w:spacing w:after="0"/>
        <w:ind w:left="720" w:hanging="720"/>
      </w:pPr>
      <w:r w:rsidRPr="007E4D23">
        <w:t xml:space="preserve">Hirsch, R. M., Archfield, S. A., &amp; De Cicco, L. A. (2015). A bootstrap method for estimating uncertainty of water quality trends. </w:t>
      </w:r>
      <w:r w:rsidRPr="007E4D23">
        <w:rPr>
          <w:i/>
        </w:rPr>
        <w:t>Environmental Modelling &amp; Software, 73</w:t>
      </w:r>
      <w:r w:rsidRPr="007E4D23">
        <w:t>, 148-166. doi:</w:t>
      </w:r>
      <w:hyperlink r:id="rId14" w:history="1">
        <w:r w:rsidRPr="007E4D23">
          <w:rPr>
            <w:rStyle w:val="Hyperlink"/>
          </w:rPr>
          <w:t>https://doi.org/10.1016/j.envsoft.2015.07.017</w:t>
        </w:r>
      </w:hyperlink>
    </w:p>
    <w:p w14:paraId="6C07E702" w14:textId="7A7CA8E0" w:rsidR="007E4D23" w:rsidRPr="007E4D23" w:rsidRDefault="007E4D23" w:rsidP="007E4D23">
      <w:pPr>
        <w:pStyle w:val="EndNoteBibliography"/>
        <w:spacing w:after="0"/>
        <w:ind w:left="720" w:hanging="720"/>
      </w:pPr>
      <w:r w:rsidRPr="007E4D23">
        <w:t xml:space="preserve">Hirsch, R. M., Moyer, D. L., &amp; Archfield, S. A. (2010). Weighted Regressions on Time, Discharge, and Season (WRTDS), with an Application to Chesapeake Bay River Inputs1. </w:t>
      </w:r>
      <w:r w:rsidRPr="007E4D23">
        <w:rPr>
          <w:i/>
        </w:rPr>
        <w:t>JAWRA Journal of the American Water Resources Association, 46</w:t>
      </w:r>
      <w:r w:rsidRPr="007E4D23">
        <w:t>(5), 857-880. doi:</w:t>
      </w:r>
      <w:hyperlink r:id="rId15" w:history="1">
        <w:r w:rsidRPr="007E4D23">
          <w:rPr>
            <w:rStyle w:val="Hyperlink"/>
          </w:rPr>
          <w:t>https://doi.org/10.1111/j.1752-1688.2010.00482.x</w:t>
        </w:r>
      </w:hyperlink>
    </w:p>
    <w:p w14:paraId="1E680997" w14:textId="77777777" w:rsidR="007E4D23" w:rsidRPr="007E4D23" w:rsidRDefault="007E4D23" w:rsidP="007E4D23">
      <w:pPr>
        <w:pStyle w:val="EndNoteBibliography"/>
        <w:spacing w:after="0"/>
        <w:ind w:left="720" w:hanging="720"/>
      </w:pPr>
      <w:r w:rsidRPr="007E4D23">
        <w:t xml:space="preserve">Jarvie, H. P., Johnson, L. T., Sharpley, A. N., Smith, D. R., Baker, D. B., Bruulsema, T. W., &amp; Confesor, R. (2017). Increased Soluble Phosphorus Loads to Lake Erie: Unintended Consequences of Conservation Practices? </w:t>
      </w:r>
      <w:r w:rsidRPr="007E4D23">
        <w:rPr>
          <w:i/>
        </w:rPr>
        <w:t>J Environ Qual, 46</w:t>
      </w:r>
      <w:r w:rsidRPr="007E4D23">
        <w:t>(1), 123-132. doi:10.2134/jeq2016.07.0248</w:t>
      </w:r>
    </w:p>
    <w:p w14:paraId="0BAF362A" w14:textId="64E9ABAB" w:rsidR="007E4D23" w:rsidRPr="007E4D23" w:rsidRDefault="007E4D23" w:rsidP="007E4D23">
      <w:pPr>
        <w:pStyle w:val="EndNoteBibliography"/>
        <w:spacing w:after="0"/>
        <w:ind w:left="720" w:hanging="720"/>
      </w:pPr>
      <w:r w:rsidRPr="007E4D23">
        <w:t xml:space="preserve">Kamrath, B., &amp; Yuan, Y. (2023). Effectiveness of Nutrient Management for Reducing Phosphorus Losses from Agricultural Areas. </w:t>
      </w:r>
      <w:r w:rsidRPr="007E4D23">
        <w:rPr>
          <w:i/>
        </w:rPr>
        <w:t>Journal of the ASABE, 0</w:t>
      </w:r>
      <w:r w:rsidRPr="007E4D23">
        <w:t>(0), 0. doi:</w:t>
      </w:r>
      <w:hyperlink r:id="rId16" w:history="1">
        <w:r w:rsidRPr="007E4D23">
          <w:rPr>
            <w:rStyle w:val="Hyperlink"/>
          </w:rPr>
          <w:t>https://doi.org/10.13031/ja.15572</w:t>
        </w:r>
      </w:hyperlink>
    </w:p>
    <w:p w14:paraId="3F9BC217" w14:textId="77777777" w:rsidR="007E4D23" w:rsidRPr="007E4D23" w:rsidRDefault="007E4D23" w:rsidP="007E4D23">
      <w:pPr>
        <w:pStyle w:val="EndNoteBibliography"/>
        <w:spacing w:after="0"/>
        <w:ind w:left="720" w:hanging="720"/>
      </w:pPr>
      <w:r w:rsidRPr="007E4D23">
        <w:t xml:space="preserve">Kast, J. B., Apostel, A. M., Kalcic, M. M., Muenich, R. L., Dagnew, A., Long, C. M., . . . Martin, J. F. (2021). Source contribution to phosphorus loads from the Maumee River watershed to Lake Erie. </w:t>
      </w:r>
      <w:r w:rsidRPr="007E4D23">
        <w:rPr>
          <w:i/>
        </w:rPr>
        <w:t>J Environ Manage, 279</w:t>
      </w:r>
      <w:r w:rsidRPr="007E4D23">
        <w:t>, 111803. doi:10.1016/j.jenvman.2020.111803</w:t>
      </w:r>
    </w:p>
    <w:p w14:paraId="79997F23" w14:textId="77777777" w:rsidR="007E4D23" w:rsidRPr="007E4D23" w:rsidRDefault="007E4D23" w:rsidP="007E4D23">
      <w:pPr>
        <w:pStyle w:val="EndNoteBibliography"/>
        <w:spacing w:after="0"/>
        <w:ind w:left="720" w:hanging="720"/>
      </w:pPr>
      <w:r w:rsidRPr="007E4D23">
        <w:t xml:space="preserve">King, K. W., Williams, M. R., LaBarge, G. A., Smith, D. R., Reutter, J. M., Duncan, E. W., &amp; Pease, L. A. (2018). Addressing agricultural phosphorus loss in artificially drained landscapes with 4R nutrient management practices. </w:t>
      </w:r>
      <w:r w:rsidRPr="007E4D23">
        <w:rPr>
          <w:i/>
        </w:rPr>
        <w:t>Journal of Soil and Water Conservation, 73</w:t>
      </w:r>
      <w:r w:rsidRPr="007E4D23">
        <w:t>(1), 35-47. doi:10.2489/jswc.73.1.35</w:t>
      </w:r>
    </w:p>
    <w:p w14:paraId="39EB5755" w14:textId="77777777" w:rsidR="007E4D23" w:rsidRPr="007E4D23" w:rsidRDefault="007E4D23" w:rsidP="007E4D23">
      <w:pPr>
        <w:pStyle w:val="EndNoteBibliography"/>
        <w:spacing w:after="0"/>
        <w:ind w:left="720" w:hanging="720"/>
      </w:pPr>
      <w:r w:rsidRPr="007E4D23">
        <w:t xml:space="preserve">Liu, J., Kleinman, P. J. A., Aronsson, H., Flaten, D., McDowell, R. W., Bechmann, M., . . . Veith, T. L. (2018). A review of regulations and guidelines related to winter manure application. </w:t>
      </w:r>
      <w:r w:rsidRPr="007E4D23">
        <w:rPr>
          <w:i/>
        </w:rPr>
        <w:t>Ambio, 47</w:t>
      </w:r>
      <w:r w:rsidRPr="007E4D23">
        <w:t>(6), 657-670. doi:10.1007/s13280-018-1012-4</w:t>
      </w:r>
    </w:p>
    <w:p w14:paraId="64E0F30D" w14:textId="77777777" w:rsidR="007E4D23" w:rsidRPr="007E4D23" w:rsidRDefault="007E4D23" w:rsidP="007E4D23">
      <w:pPr>
        <w:pStyle w:val="EndNoteBibliography"/>
        <w:spacing w:after="0"/>
        <w:ind w:left="720" w:hanging="720"/>
      </w:pPr>
      <w:r w:rsidRPr="007E4D23">
        <w:t xml:space="preserve">Michalak, A. M., Anderson, E. J., Beletsky, D., Boland, S., Bosch, N. S., Bridgeman, T. B., . . . Zagorski, M. A. (2013). Record-setting algal bloom in Lake Erie caused by agricultural and meteorological trends consistent with expected future conditions. </w:t>
      </w:r>
      <w:r w:rsidRPr="007E4D23">
        <w:rPr>
          <w:i/>
        </w:rPr>
        <w:t>Proc Natl Acad Sci U S A, 110</w:t>
      </w:r>
      <w:r w:rsidRPr="007E4D23">
        <w:t>(16), 6448-6452. doi:10.1073/pnas.1216006110</w:t>
      </w:r>
    </w:p>
    <w:p w14:paraId="0F300B7F" w14:textId="481A7703" w:rsidR="007E4D23" w:rsidRPr="007E4D23" w:rsidRDefault="007E4D23" w:rsidP="007E4D23">
      <w:pPr>
        <w:pStyle w:val="EndNoteBibliography"/>
        <w:spacing w:after="0"/>
        <w:ind w:left="720" w:hanging="720"/>
      </w:pPr>
      <w:r w:rsidRPr="007E4D23">
        <w:t xml:space="preserve">NCWQR. (2022). </w:t>
      </w:r>
      <w:r w:rsidRPr="007E4D23">
        <w:rPr>
          <w:i/>
        </w:rPr>
        <w:t>Heidelberg Tributary Loading Program (HTLP) Dataset</w:t>
      </w:r>
      <w:r w:rsidRPr="007E4D23">
        <w:t xml:space="preserve">. Retrieved from: </w:t>
      </w:r>
      <w:hyperlink r:id="rId17" w:history="1">
        <w:r w:rsidRPr="007E4D23">
          <w:rPr>
            <w:rStyle w:val="Hyperlink"/>
          </w:rPr>
          <w:t>https://doi.org/10.5281/zenodo.6606950</w:t>
        </w:r>
      </w:hyperlink>
    </w:p>
    <w:p w14:paraId="461F60E1" w14:textId="77777777" w:rsidR="007E4D23" w:rsidRPr="007E4D23" w:rsidRDefault="007E4D23" w:rsidP="007E4D23">
      <w:pPr>
        <w:pStyle w:val="EndNoteBibliography"/>
        <w:spacing w:after="0"/>
        <w:ind w:left="720" w:hanging="720"/>
      </w:pPr>
      <w:r w:rsidRPr="007E4D23">
        <w:t xml:space="preserve">Prasad, L. R., Thompson, A. M., Arriaga, F. J., &amp; Vadas, P. A. (2022). Tillage and manure effects on runoff nitrogen and phosphorus losses from frozen soils. </w:t>
      </w:r>
      <w:r w:rsidRPr="007E4D23">
        <w:rPr>
          <w:i/>
        </w:rPr>
        <w:t>J Environ Qual, 51</w:t>
      </w:r>
      <w:r w:rsidRPr="007E4D23">
        <w:t>(5), 978-989. doi:10.1002/jeq2.20396</w:t>
      </w:r>
    </w:p>
    <w:p w14:paraId="4D26C3EB" w14:textId="18EE423C" w:rsidR="007E4D23" w:rsidRPr="007E4D23" w:rsidRDefault="007E4D23" w:rsidP="007E4D23">
      <w:pPr>
        <w:pStyle w:val="EndNoteBibliography"/>
        <w:spacing w:after="0"/>
        <w:ind w:left="720" w:hanging="720"/>
      </w:pPr>
      <w:r w:rsidRPr="007E4D23">
        <w:t xml:space="preserve">R Core Team. (2022). R: A Language and Environment for Statistical Computing (Version 4.1.3). Vienna, Austria: R Foundation for Statistical Computing. Retrieved from </w:t>
      </w:r>
      <w:hyperlink r:id="rId18" w:history="1">
        <w:r w:rsidRPr="007E4D23">
          <w:rPr>
            <w:rStyle w:val="Hyperlink"/>
          </w:rPr>
          <w:t>https://www.R-project.org/</w:t>
        </w:r>
      </w:hyperlink>
    </w:p>
    <w:p w14:paraId="04164572" w14:textId="31EA5D88" w:rsidR="007E4D23" w:rsidRPr="007E4D23" w:rsidRDefault="007E4D23" w:rsidP="007E4D23">
      <w:pPr>
        <w:pStyle w:val="EndNoteBibliography"/>
        <w:spacing w:after="0"/>
        <w:ind w:left="720" w:hanging="720"/>
      </w:pPr>
      <w:r w:rsidRPr="007E4D23">
        <w:t xml:space="preserve">Rowland, F. E., Stow, C. A., Johnson, L. T., &amp; Hirsch, R. M. (2021). Lake Erie tributary nutrient trend evaluation: Normalizing concentrations and loads to reduce flow variability. </w:t>
      </w:r>
      <w:r w:rsidRPr="007E4D23">
        <w:rPr>
          <w:i/>
        </w:rPr>
        <w:t>Ecological Indicators, 125</w:t>
      </w:r>
      <w:r w:rsidRPr="007E4D23">
        <w:t>, 107601. doi:</w:t>
      </w:r>
      <w:hyperlink r:id="rId19" w:history="1">
        <w:r w:rsidRPr="007E4D23">
          <w:rPr>
            <w:rStyle w:val="Hyperlink"/>
          </w:rPr>
          <w:t>https://doi.org/10.1016/j.ecolind.2021.107601</w:t>
        </w:r>
      </w:hyperlink>
    </w:p>
    <w:p w14:paraId="474648B3" w14:textId="28E50F3D" w:rsidR="007E4D23" w:rsidRPr="007E4D23" w:rsidRDefault="007E4D23" w:rsidP="007E4D23">
      <w:pPr>
        <w:pStyle w:val="EndNoteBibliography"/>
        <w:spacing w:after="0"/>
        <w:ind w:left="720" w:hanging="720"/>
      </w:pPr>
      <w:r w:rsidRPr="007E4D23">
        <w:t xml:space="preserve">Scavia, D., David Allan, J., Arend, K. K., Bartell, S., Beletsky, D., Bosch, N. S., . . . Zhou, Y. (2014). Assessing and addressing the re-eutrophication of Lake Erie: Central basin hypoxia. </w:t>
      </w:r>
      <w:r w:rsidRPr="007E4D23">
        <w:rPr>
          <w:i/>
        </w:rPr>
        <w:t>Journal of Great Lakes Research, 40</w:t>
      </w:r>
      <w:r w:rsidRPr="007E4D23">
        <w:t>(2), 226-246. doi:</w:t>
      </w:r>
      <w:hyperlink r:id="rId20" w:history="1">
        <w:r w:rsidRPr="007E4D23">
          <w:rPr>
            <w:rStyle w:val="Hyperlink"/>
          </w:rPr>
          <w:t>https://doi.org/10.1016/j.jglr.2014.02.004</w:t>
        </w:r>
      </w:hyperlink>
    </w:p>
    <w:p w14:paraId="143EAF67" w14:textId="77777777" w:rsidR="007E4D23" w:rsidRPr="007E4D23" w:rsidRDefault="007E4D23" w:rsidP="007E4D23">
      <w:pPr>
        <w:pStyle w:val="EndNoteBibliography"/>
        <w:spacing w:after="0"/>
        <w:ind w:left="720" w:hanging="720"/>
      </w:pPr>
      <w:r w:rsidRPr="007E4D23">
        <w:t xml:space="preserve">Smith, D. R., Owens, P. R., Leytem, A. B., &amp; Warnemuende, E. A. (2007). Nutrient losses from manure and fertilizer applications as impacted by time to first runoff event. </w:t>
      </w:r>
      <w:r w:rsidRPr="007E4D23">
        <w:rPr>
          <w:i/>
        </w:rPr>
        <w:t>Environ Pollut, 147</w:t>
      </w:r>
      <w:r w:rsidRPr="007E4D23">
        <w:t>(1), 131-137. doi:10.1016/j.envpol.2006.08.021</w:t>
      </w:r>
    </w:p>
    <w:p w14:paraId="1C985C00" w14:textId="77777777" w:rsidR="007E4D23" w:rsidRPr="007E4D23" w:rsidRDefault="007E4D23" w:rsidP="007E4D23">
      <w:pPr>
        <w:pStyle w:val="EndNoteBibliography"/>
        <w:spacing w:after="0"/>
        <w:ind w:left="720" w:hanging="720"/>
      </w:pPr>
      <w:r w:rsidRPr="007E4D23">
        <w:t xml:space="preserve">Sprague, L. A., Hirsch, R. M., &amp; Aulenbach, B. T. (2011). Nitrate in the Mississippi River and Its Tributaries, 1980 to 2008: Are We Making Progress? </w:t>
      </w:r>
      <w:r w:rsidRPr="007E4D23">
        <w:rPr>
          <w:i/>
        </w:rPr>
        <w:t>Environmental science &amp; technology, 45</w:t>
      </w:r>
      <w:r w:rsidRPr="007E4D23">
        <w:t>(17), 7209-7216. doi:10.1021/es201221s</w:t>
      </w:r>
    </w:p>
    <w:p w14:paraId="51754B2E" w14:textId="77777777" w:rsidR="007E4D23" w:rsidRPr="007E4D23" w:rsidRDefault="007E4D23" w:rsidP="007E4D23">
      <w:pPr>
        <w:pStyle w:val="EndNoteBibliography"/>
        <w:spacing w:after="0"/>
        <w:ind w:left="720" w:hanging="720"/>
      </w:pPr>
      <w:r w:rsidRPr="007E4D23">
        <w:t xml:space="preserve">Srinivasan, M. S., Bryant, R. B., Callahan, M. P., &amp; Weld, J. L. (2006). Manure management and nutreint loss under winter conditions: A literature review. </w:t>
      </w:r>
      <w:r w:rsidRPr="007E4D23">
        <w:rPr>
          <w:i/>
        </w:rPr>
        <w:t>Journal of Soil and Water Conservation, 61</w:t>
      </w:r>
      <w:r w:rsidRPr="007E4D23">
        <w:t xml:space="preserve">(4), 200-209. </w:t>
      </w:r>
    </w:p>
    <w:p w14:paraId="2CD9681E" w14:textId="77777777" w:rsidR="007E4D23" w:rsidRPr="007E4D23" w:rsidRDefault="007E4D23" w:rsidP="007E4D23">
      <w:pPr>
        <w:pStyle w:val="EndNoteBibliography"/>
        <w:spacing w:after="0"/>
        <w:ind w:left="720" w:hanging="720"/>
      </w:pPr>
      <w:r w:rsidRPr="007E4D23">
        <w:t xml:space="preserve">Stock, M. N., Arriaga, F. J., Vadas, P. A., Good, L. W., Casler, M. D., Karthikeyan, K. G., &amp; Zopp, Z. (2019). Fall Tillage Reduced Nutrient Loads from Liquid Manure Application during the Freezing Season. </w:t>
      </w:r>
      <w:r w:rsidRPr="007E4D23">
        <w:rPr>
          <w:i/>
        </w:rPr>
        <w:t>J Environ Qual, 48</w:t>
      </w:r>
      <w:r w:rsidRPr="007E4D23">
        <w:t>(4), 889-898. doi:10.2134/jeq2018.11.0417</w:t>
      </w:r>
    </w:p>
    <w:p w14:paraId="1BC64DDD" w14:textId="77777777" w:rsidR="007E4D23" w:rsidRPr="007E4D23" w:rsidRDefault="007E4D23" w:rsidP="007E4D23">
      <w:pPr>
        <w:pStyle w:val="EndNoteBibliography"/>
        <w:spacing w:after="0"/>
        <w:ind w:left="720" w:hanging="720"/>
      </w:pPr>
      <w:r w:rsidRPr="007E4D23">
        <w:t xml:space="preserve">Stumpf, R. P., Wynne, T. T., Baker, D. B., &amp; Fahnenstiel, G. L. (2012). Interannual variability of cyanobacterial blooms in Lake Erie. </w:t>
      </w:r>
      <w:r w:rsidRPr="007E4D23">
        <w:rPr>
          <w:i/>
        </w:rPr>
        <w:t>PloS one, 7</w:t>
      </w:r>
      <w:r w:rsidRPr="007E4D23">
        <w:t>(8), e42444. doi:10.1371/journal.pone.0042444</w:t>
      </w:r>
    </w:p>
    <w:p w14:paraId="163413FF" w14:textId="7DDC4CFC" w:rsidR="007E4D23" w:rsidRPr="007E4D23" w:rsidRDefault="007E4D23" w:rsidP="007E4D23">
      <w:pPr>
        <w:pStyle w:val="EndNoteBibliography"/>
        <w:ind w:left="720" w:hanging="720"/>
      </w:pPr>
      <w:r w:rsidRPr="007E4D23">
        <w:t xml:space="preserve">USEPA. (2016). Governments of Canada and the United States Announce Phosphorus Reduction Targets of 40 percent to Improve Lake Erie Water Quality and Reduce Public Health Risk [Press release]. Retrieved from </w:t>
      </w:r>
      <w:hyperlink r:id="rId21" w:history="1">
        <w:r w:rsidRPr="007E4D23">
          <w:rPr>
            <w:rStyle w:val="Hyperlink"/>
          </w:rPr>
          <w:t>https://19january2017snapshot.epa.gov/newsreleases/governments-canada-and-united-states-announce-phosphorus-reduction-targets-40-percent_.html</w:t>
        </w:r>
      </w:hyperlink>
    </w:p>
    <w:p w14:paraId="4B5E1FDD" w14:textId="73F84320" w:rsidR="00494CFD" w:rsidRPr="00134E80" w:rsidRDefault="00001EA6" w:rsidP="00134E80">
      <w:r>
        <w:fldChar w:fldCharType="end"/>
      </w:r>
    </w:p>
    <w:sectPr w:rsidR="00494CFD" w:rsidRPr="00134E80" w:rsidSect="003B11E5">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D8B0" w14:textId="77777777" w:rsidR="003B11E5" w:rsidRDefault="003B11E5" w:rsidP="003B11E5">
      <w:pPr>
        <w:spacing w:after="0" w:line="240" w:lineRule="auto"/>
      </w:pPr>
      <w:r>
        <w:separator/>
      </w:r>
    </w:p>
  </w:endnote>
  <w:endnote w:type="continuationSeparator" w:id="0">
    <w:p w14:paraId="6AA71B5D" w14:textId="77777777" w:rsidR="003B11E5" w:rsidRDefault="003B11E5" w:rsidP="003B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5635"/>
      <w:docPartObj>
        <w:docPartGallery w:val="Page Numbers (Bottom of Page)"/>
        <w:docPartUnique/>
      </w:docPartObj>
    </w:sdtPr>
    <w:sdtEndPr>
      <w:rPr>
        <w:noProof/>
      </w:rPr>
    </w:sdtEndPr>
    <w:sdtContent>
      <w:p w14:paraId="50DE62C9" w14:textId="3D2666BD" w:rsidR="003B11E5" w:rsidRDefault="003B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9F14F" w14:textId="77777777" w:rsidR="003B11E5" w:rsidRDefault="003B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2B79" w14:textId="77777777" w:rsidR="003B11E5" w:rsidRDefault="003B11E5" w:rsidP="003B11E5">
      <w:pPr>
        <w:spacing w:after="0" w:line="240" w:lineRule="auto"/>
      </w:pPr>
      <w:r>
        <w:separator/>
      </w:r>
    </w:p>
  </w:footnote>
  <w:footnote w:type="continuationSeparator" w:id="0">
    <w:p w14:paraId="7C3CECF4" w14:textId="77777777" w:rsidR="003B11E5" w:rsidRDefault="003B11E5" w:rsidP="003B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82846"/>
    <w:multiLevelType w:val="hybridMultilevel"/>
    <w:tmpl w:val="6826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07BB1"/>
    <w:multiLevelType w:val="hybridMultilevel"/>
    <w:tmpl w:val="04E4DE7C"/>
    <w:lvl w:ilvl="0" w:tplc="DB840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E1072B"/>
    <w:multiLevelType w:val="hybridMultilevel"/>
    <w:tmpl w:val="798E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76968"/>
    <w:multiLevelType w:val="hybridMultilevel"/>
    <w:tmpl w:val="E85CB2EE"/>
    <w:lvl w:ilvl="0" w:tplc="96386F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7021">
    <w:abstractNumId w:val="0"/>
  </w:num>
  <w:num w:numId="2" w16cid:durableId="464931883">
    <w:abstractNumId w:val="5"/>
  </w:num>
  <w:num w:numId="3" w16cid:durableId="1885096375">
    <w:abstractNumId w:val="2"/>
  </w:num>
  <w:num w:numId="4" w16cid:durableId="1855727854">
    <w:abstractNumId w:val="3"/>
  </w:num>
  <w:num w:numId="5" w16cid:durableId="1705212517">
    <w:abstractNumId w:val="1"/>
  </w:num>
  <w:num w:numId="6" w16cid:durableId="62981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5p2xpuads9deaf5xvd2ri20s0at2spve5&quot;&gt;library&lt;record-ids&gt;&lt;item&gt;15401&lt;/item&gt;&lt;item&gt;15423&lt;/item&gt;&lt;item&gt;15475&lt;/item&gt;&lt;item&gt;16859&lt;/item&gt;&lt;item&gt;16860&lt;/item&gt;&lt;item&gt;16865&lt;/item&gt;&lt;item&gt;16872&lt;/item&gt;&lt;item&gt;16875&lt;/item&gt;&lt;item&gt;16877&lt;/item&gt;&lt;item&gt;16918&lt;/item&gt;&lt;item&gt;16924&lt;/item&gt;&lt;item&gt;16934&lt;/item&gt;&lt;item&gt;16941&lt;/item&gt;&lt;item&gt;16954&lt;/item&gt;&lt;item&gt;16955&lt;/item&gt;&lt;item&gt;16957&lt;/item&gt;&lt;item&gt;16958&lt;/item&gt;&lt;item&gt;16960&lt;/item&gt;&lt;item&gt;16961&lt;/item&gt;&lt;item&gt;16962&lt;/item&gt;&lt;item&gt;16968&lt;/item&gt;&lt;item&gt;16969&lt;/item&gt;&lt;item&gt;16970&lt;/item&gt;&lt;/record-ids&gt;&lt;/item&gt;&lt;/Libraries&gt;"/>
  </w:docVars>
  <w:rsids>
    <w:rsidRoot w:val="006028A4"/>
    <w:rsid w:val="00001EA6"/>
    <w:rsid w:val="00006456"/>
    <w:rsid w:val="00007012"/>
    <w:rsid w:val="00020458"/>
    <w:rsid w:val="00037B5E"/>
    <w:rsid w:val="00047F52"/>
    <w:rsid w:val="00060133"/>
    <w:rsid w:val="00072255"/>
    <w:rsid w:val="00093074"/>
    <w:rsid w:val="000B34CA"/>
    <w:rsid w:val="000C186C"/>
    <w:rsid w:val="000F273B"/>
    <w:rsid w:val="00102BE0"/>
    <w:rsid w:val="00111D8F"/>
    <w:rsid w:val="0011336B"/>
    <w:rsid w:val="00116413"/>
    <w:rsid w:val="00117C88"/>
    <w:rsid w:val="00125210"/>
    <w:rsid w:val="00134E80"/>
    <w:rsid w:val="00147BB0"/>
    <w:rsid w:val="001542C5"/>
    <w:rsid w:val="00171A81"/>
    <w:rsid w:val="00173DE2"/>
    <w:rsid w:val="001820D5"/>
    <w:rsid w:val="001870E0"/>
    <w:rsid w:val="00194D6B"/>
    <w:rsid w:val="001B2703"/>
    <w:rsid w:val="001B429D"/>
    <w:rsid w:val="001B6C08"/>
    <w:rsid w:val="001B723E"/>
    <w:rsid w:val="001C2248"/>
    <w:rsid w:val="001F0266"/>
    <w:rsid w:val="001F43A8"/>
    <w:rsid w:val="001F4D6F"/>
    <w:rsid w:val="002133D0"/>
    <w:rsid w:val="00233441"/>
    <w:rsid w:val="00237824"/>
    <w:rsid w:val="002400D7"/>
    <w:rsid w:val="00290695"/>
    <w:rsid w:val="002912E6"/>
    <w:rsid w:val="002A2836"/>
    <w:rsid w:val="002C165A"/>
    <w:rsid w:val="002C2357"/>
    <w:rsid w:val="002C42A1"/>
    <w:rsid w:val="002D25E0"/>
    <w:rsid w:val="002E206E"/>
    <w:rsid w:val="002E468A"/>
    <w:rsid w:val="00305DBA"/>
    <w:rsid w:val="00346E5A"/>
    <w:rsid w:val="003546F8"/>
    <w:rsid w:val="00361A04"/>
    <w:rsid w:val="00366CF2"/>
    <w:rsid w:val="00383FFE"/>
    <w:rsid w:val="003867D1"/>
    <w:rsid w:val="003A0EE8"/>
    <w:rsid w:val="003A52D0"/>
    <w:rsid w:val="003B11E5"/>
    <w:rsid w:val="003E477B"/>
    <w:rsid w:val="00413D2A"/>
    <w:rsid w:val="00417D68"/>
    <w:rsid w:val="00421381"/>
    <w:rsid w:val="004234A8"/>
    <w:rsid w:val="004349A8"/>
    <w:rsid w:val="00437CD0"/>
    <w:rsid w:val="00445C64"/>
    <w:rsid w:val="00450C40"/>
    <w:rsid w:val="004536A7"/>
    <w:rsid w:val="00465B43"/>
    <w:rsid w:val="00467D4F"/>
    <w:rsid w:val="0047363D"/>
    <w:rsid w:val="004935D5"/>
    <w:rsid w:val="00494CFD"/>
    <w:rsid w:val="004B532F"/>
    <w:rsid w:val="004B6DEC"/>
    <w:rsid w:val="004E0BAE"/>
    <w:rsid w:val="004E5C0E"/>
    <w:rsid w:val="004F5794"/>
    <w:rsid w:val="0051067E"/>
    <w:rsid w:val="00512084"/>
    <w:rsid w:val="00527558"/>
    <w:rsid w:val="005275C0"/>
    <w:rsid w:val="00552A1A"/>
    <w:rsid w:val="00555C60"/>
    <w:rsid w:val="005642F2"/>
    <w:rsid w:val="005701AA"/>
    <w:rsid w:val="00581A5E"/>
    <w:rsid w:val="005968C7"/>
    <w:rsid w:val="005A62BC"/>
    <w:rsid w:val="005B122A"/>
    <w:rsid w:val="005C2ADE"/>
    <w:rsid w:val="005D37F8"/>
    <w:rsid w:val="005D3F20"/>
    <w:rsid w:val="005E7D1F"/>
    <w:rsid w:val="005F0409"/>
    <w:rsid w:val="005F342D"/>
    <w:rsid w:val="005F39F8"/>
    <w:rsid w:val="005F5529"/>
    <w:rsid w:val="006003F8"/>
    <w:rsid w:val="006019F7"/>
    <w:rsid w:val="0060240F"/>
    <w:rsid w:val="006028A4"/>
    <w:rsid w:val="00606592"/>
    <w:rsid w:val="0061184F"/>
    <w:rsid w:val="00613B84"/>
    <w:rsid w:val="006326CF"/>
    <w:rsid w:val="00641E24"/>
    <w:rsid w:val="00662612"/>
    <w:rsid w:val="00665B3B"/>
    <w:rsid w:val="00670D45"/>
    <w:rsid w:val="00670DC4"/>
    <w:rsid w:val="00676083"/>
    <w:rsid w:val="0069319F"/>
    <w:rsid w:val="006976C7"/>
    <w:rsid w:val="006A238A"/>
    <w:rsid w:val="006B6E31"/>
    <w:rsid w:val="006C27DE"/>
    <w:rsid w:val="006C528F"/>
    <w:rsid w:val="006C5769"/>
    <w:rsid w:val="006D22F4"/>
    <w:rsid w:val="006D594B"/>
    <w:rsid w:val="006E2C1C"/>
    <w:rsid w:val="006F4FBA"/>
    <w:rsid w:val="00706694"/>
    <w:rsid w:val="0071425D"/>
    <w:rsid w:val="007251AF"/>
    <w:rsid w:val="0073503F"/>
    <w:rsid w:val="0075141E"/>
    <w:rsid w:val="00752603"/>
    <w:rsid w:val="00755DF7"/>
    <w:rsid w:val="007634A4"/>
    <w:rsid w:val="0076435D"/>
    <w:rsid w:val="0078110D"/>
    <w:rsid w:val="007913DC"/>
    <w:rsid w:val="00796E8D"/>
    <w:rsid w:val="007A7929"/>
    <w:rsid w:val="007B35EB"/>
    <w:rsid w:val="007B792E"/>
    <w:rsid w:val="007C0466"/>
    <w:rsid w:val="007C6249"/>
    <w:rsid w:val="007D01A0"/>
    <w:rsid w:val="007D0C12"/>
    <w:rsid w:val="007E31AC"/>
    <w:rsid w:val="007E4D23"/>
    <w:rsid w:val="00814397"/>
    <w:rsid w:val="00817095"/>
    <w:rsid w:val="00817AB1"/>
    <w:rsid w:val="00823EFB"/>
    <w:rsid w:val="008278C5"/>
    <w:rsid w:val="00832C39"/>
    <w:rsid w:val="00837326"/>
    <w:rsid w:val="008547C1"/>
    <w:rsid w:val="0085588B"/>
    <w:rsid w:val="0086141C"/>
    <w:rsid w:val="00862EAA"/>
    <w:rsid w:val="00880B5B"/>
    <w:rsid w:val="00880CF0"/>
    <w:rsid w:val="008A7740"/>
    <w:rsid w:val="008E5555"/>
    <w:rsid w:val="008E6F55"/>
    <w:rsid w:val="009008CF"/>
    <w:rsid w:val="00914D50"/>
    <w:rsid w:val="00954666"/>
    <w:rsid w:val="0097545F"/>
    <w:rsid w:val="00987E2F"/>
    <w:rsid w:val="00990397"/>
    <w:rsid w:val="009A5F0C"/>
    <w:rsid w:val="009B472D"/>
    <w:rsid w:val="009B77B7"/>
    <w:rsid w:val="009C16DB"/>
    <w:rsid w:val="009E4B95"/>
    <w:rsid w:val="009F5F35"/>
    <w:rsid w:val="00A042A4"/>
    <w:rsid w:val="00A04BBD"/>
    <w:rsid w:val="00A21595"/>
    <w:rsid w:val="00A27493"/>
    <w:rsid w:val="00A3285A"/>
    <w:rsid w:val="00A37D55"/>
    <w:rsid w:val="00A45C64"/>
    <w:rsid w:val="00A4731C"/>
    <w:rsid w:val="00A649C8"/>
    <w:rsid w:val="00A651B3"/>
    <w:rsid w:val="00A9135C"/>
    <w:rsid w:val="00AB4E67"/>
    <w:rsid w:val="00AD19B7"/>
    <w:rsid w:val="00AE17A6"/>
    <w:rsid w:val="00AF524C"/>
    <w:rsid w:val="00B0389C"/>
    <w:rsid w:val="00B04CD5"/>
    <w:rsid w:val="00B15190"/>
    <w:rsid w:val="00B249A0"/>
    <w:rsid w:val="00B24DA9"/>
    <w:rsid w:val="00B263E2"/>
    <w:rsid w:val="00B26DD2"/>
    <w:rsid w:val="00B26EFA"/>
    <w:rsid w:val="00B34DD4"/>
    <w:rsid w:val="00B34F7A"/>
    <w:rsid w:val="00B3565A"/>
    <w:rsid w:val="00B36975"/>
    <w:rsid w:val="00B40330"/>
    <w:rsid w:val="00B417F7"/>
    <w:rsid w:val="00B42235"/>
    <w:rsid w:val="00B63652"/>
    <w:rsid w:val="00B70EC6"/>
    <w:rsid w:val="00B90537"/>
    <w:rsid w:val="00B9561A"/>
    <w:rsid w:val="00BA6480"/>
    <w:rsid w:val="00BB60DF"/>
    <w:rsid w:val="00BD0587"/>
    <w:rsid w:val="00BD0889"/>
    <w:rsid w:val="00BD53EA"/>
    <w:rsid w:val="00BE47A0"/>
    <w:rsid w:val="00BE736F"/>
    <w:rsid w:val="00BF4989"/>
    <w:rsid w:val="00BF765F"/>
    <w:rsid w:val="00C06BCB"/>
    <w:rsid w:val="00C06CFA"/>
    <w:rsid w:val="00C073F9"/>
    <w:rsid w:val="00C21A9D"/>
    <w:rsid w:val="00C25BC8"/>
    <w:rsid w:val="00C32B3F"/>
    <w:rsid w:val="00C40FED"/>
    <w:rsid w:val="00C43654"/>
    <w:rsid w:val="00C43D60"/>
    <w:rsid w:val="00C5354B"/>
    <w:rsid w:val="00C5674C"/>
    <w:rsid w:val="00C56C5D"/>
    <w:rsid w:val="00C741BA"/>
    <w:rsid w:val="00C76EE7"/>
    <w:rsid w:val="00C83EA7"/>
    <w:rsid w:val="00C940D8"/>
    <w:rsid w:val="00CB1662"/>
    <w:rsid w:val="00CC5682"/>
    <w:rsid w:val="00CD2E89"/>
    <w:rsid w:val="00CD465B"/>
    <w:rsid w:val="00CD7549"/>
    <w:rsid w:val="00CE2459"/>
    <w:rsid w:val="00D0235F"/>
    <w:rsid w:val="00D150A7"/>
    <w:rsid w:val="00D20B1C"/>
    <w:rsid w:val="00D22C5D"/>
    <w:rsid w:val="00D37403"/>
    <w:rsid w:val="00D4064D"/>
    <w:rsid w:val="00D44EA0"/>
    <w:rsid w:val="00D623F7"/>
    <w:rsid w:val="00D66B82"/>
    <w:rsid w:val="00D70C40"/>
    <w:rsid w:val="00D7414E"/>
    <w:rsid w:val="00D842CB"/>
    <w:rsid w:val="00D844C8"/>
    <w:rsid w:val="00D9268F"/>
    <w:rsid w:val="00D961E6"/>
    <w:rsid w:val="00DA0AC9"/>
    <w:rsid w:val="00DA4D9C"/>
    <w:rsid w:val="00DA5CCF"/>
    <w:rsid w:val="00DC044A"/>
    <w:rsid w:val="00DE55A7"/>
    <w:rsid w:val="00DE741D"/>
    <w:rsid w:val="00DF2E13"/>
    <w:rsid w:val="00E043F5"/>
    <w:rsid w:val="00E17E39"/>
    <w:rsid w:val="00E226F8"/>
    <w:rsid w:val="00E24710"/>
    <w:rsid w:val="00E42991"/>
    <w:rsid w:val="00E56AB6"/>
    <w:rsid w:val="00E60EA4"/>
    <w:rsid w:val="00E63A6B"/>
    <w:rsid w:val="00E83322"/>
    <w:rsid w:val="00E84107"/>
    <w:rsid w:val="00EA4724"/>
    <w:rsid w:val="00ED0138"/>
    <w:rsid w:val="00ED6FF0"/>
    <w:rsid w:val="00ED74D5"/>
    <w:rsid w:val="00EE6865"/>
    <w:rsid w:val="00EF075A"/>
    <w:rsid w:val="00F02155"/>
    <w:rsid w:val="00F103F7"/>
    <w:rsid w:val="00F1390A"/>
    <w:rsid w:val="00F21C60"/>
    <w:rsid w:val="00F40B39"/>
    <w:rsid w:val="00F507B2"/>
    <w:rsid w:val="00F55E79"/>
    <w:rsid w:val="00F62E8C"/>
    <w:rsid w:val="00F737C3"/>
    <w:rsid w:val="00F91D78"/>
    <w:rsid w:val="00FA05EC"/>
    <w:rsid w:val="00FB224B"/>
    <w:rsid w:val="00FB4B72"/>
    <w:rsid w:val="00FB6C46"/>
    <w:rsid w:val="00FC32AF"/>
    <w:rsid w:val="00FC69DA"/>
    <w:rsid w:val="00FD7DDC"/>
    <w:rsid w:val="00FF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05378BE"/>
  <w15:chartTrackingRefBased/>
  <w15:docId w15:val="{F5883C0C-ED03-4E34-B4CA-7A1D0D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60DF"/>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C32AF"/>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C32A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B60D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0D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0D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0D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0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0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48"/>
    <w:pPr>
      <w:ind w:left="720"/>
      <w:contextualSpacing/>
    </w:pPr>
  </w:style>
  <w:style w:type="character" w:customStyle="1" w:styleId="Heading1Char">
    <w:name w:val="Heading 1 Char"/>
    <w:basedOn w:val="DefaultParagraphFont"/>
    <w:link w:val="Heading1"/>
    <w:uiPriority w:val="9"/>
    <w:rsid w:val="00BB60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2AF"/>
    <w:rPr>
      <w:rFonts w:ascii="Times New Roman" w:eastAsiaTheme="majorEastAsia" w:hAnsi="Times New Roman" w:cstheme="majorBidi"/>
      <w:sz w:val="26"/>
      <w:szCs w:val="26"/>
    </w:rPr>
  </w:style>
  <w:style w:type="table" w:styleId="TableGrid">
    <w:name w:val="Table Grid"/>
    <w:basedOn w:val="TableNormal"/>
    <w:uiPriority w:val="39"/>
    <w:rsid w:val="00B4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1EA6"/>
    <w:pPr>
      <w:spacing w:after="0" w:line="240" w:lineRule="auto"/>
      <w:contextualSpacing/>
    </w:pPr>
    <w:rPr>
      <w:rFonts w:ascii="Times New Roman Bold" w:eastAsiaTheme="majorEastAsia" w:hAnsi="Times New Roman Bold" w:cstheme="majorBidi"/>
      <w:b/>
      <w:smallCaps/>
      <w:spacing w:val="-10"/>
      <w:kern w:val="28"/>
      <w:sz w:val="36"/>
      <w:szCs w:val="56"/>
    </w:rPr>
  </w:style>
  <w:style w:type="character" w:customStyle="1" w:styleId="TitleChar">
    <w:name w:val="Title Char"/>
    <w:basedOn w:val="DefaultParagraphFont"/>
    <w:link w:val="Title"/>
    <w:uiPriority w:val="10"/>
    <w:rsid w:val="00001EA6"/>
    <w:rPr>
      <w:rFonts w:ascii="Times New Roman Bold" w:eastAsiaTheme="majorEastAsia" w:hAnsi="Times New Roman Bold" w:cstheme="majorBidi"/>
      <w:b/>
      <w:smallCaps/>
      <w:spacing w:val="-10"/>
      <w:kern w:val="28"/>
      <w:sz w:val="36"/>
      <w:szCs w:val="56"/>
    </w:rPr>
  </w:style>
  <w:style w:type="paragraph" w:customStyle="1" w:styleId="EndNoteBibliographyTitle">
    <w:name w:val="EndNote Bibliography Title"/>
    <w:basedOn w:val="Normal"/>
    <w:link w:val="EndNoteBibliographyTitleChar"/>
    <w:rsid w:val="00001EA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001EA6"/>
    <w:rPr>
      <w:rFonts w:ascii="Times New Roman" w:hAnsi="Times New Roman" w:cs="Times New Roman"/>
      <w:noProof/>
      <w:sz w:val="24"/>
    </w:rPr>
  </w:style>
  <w:style w:type="paragraph" w:customStyle="1" w:styleId="EndNoteBibliography">
    <w:name w:val="EndNote Bibliography"/>
    <w:basedOn w:val="Normal"/>
    <w:link w:val="EndNoteBibliographyChar"/>
    <w:rsid w:val="00001EA6"/>
    <w:pPr>
      <w:spacing w:line="240" w:lineRule="auto"/>
    </w:pPr>
    <w:rPr>
      <w:rFonts w:cs="Times New Roman"/>
      <w:noProof/>
    </w:rPr>
  </w:style>
  <w:style w:type="character" w:customStyle="1" w:styleId="EndNoteBibliographyChar">
    <w:name w:val="EndNote Bibliography Char"/>
    <w:basedOn w:val="DefaultParagraphFont"/>
    <w:link w:val="EndNoteBibliography"/>
    <w:rsid w:val="00001EA6"/>
    <w:rPr>
      <w:rFonts w:ascii="Times New Roman" w:hAnsi="Times New Roman" w:cs="Times New Roman"/>
      <w:noProof/>
      <w:sz w:val="24"/>
    </w:rPr>
  </w:style>
  <w:style w:type="character" w:styleId="Hyperlink">
    <w:name w:val="Hyperlink"/>
    <w:basedOn w:val="DefaultParagraphFont"/>
    <w:uiPriority w:val="99"/>
    <w:unhideWhenUsed/>
    <w:rsid w:val="00001EA6"/>
    <w:rPr>
      <w:color w:val="0563C1" w:themeColor="hyperlink"/>
      <w:u w:val="single"/>
    </w:rPr>
  </w:style>
  <w:style w:type="character" w:styleId="UnresolvedMention">
    <w:name w:val="Unresolved Mention"/>
    <w:basedOn w:val="DefaultParagraphFont"/>
    <w:uiPriority w:val="99"/>
    <w:semiHidden/>
    <w:unhideWhenUsed/>
    <w:rsid w:val="00001EA6"/>
    <w:rPr>
      <w:color w:val="605E5C"/>
      <w:shd w:val="clear" w:color="auto" w:fill="E1DFDD"/>
    </w:rPr>
  </w:style>
  <w:style w:type="character" w:customStyle="1" w:styleId="Heading3Char">
    <w:name w:val="Heading 3 Char"/>
    <w:basedOn w:val="DefaultParagraphFont"/>
    <w:link w:val="Heading3"/>
    <w:uiPriority w:val="9"/>
    <w:rsid w:val="00FC32AF"/>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B04CD5"/>
    <w:rPr>
      <w:color w:val="808080"/>
    </w:rPr>
  </w:style>
  <w:style w:type="paragraph" w:styleId="Caption">
    <w:name w:val="caption"/>
    <w:basedOn w:val="Normal"/>
    <w:next w:val="Normal"/>
    <w:uiPriority w:val="35"/>
    <w:unhideWhenUsed/>
    <w:qFormat/>
    <w:rsid w:val="005F0409"/>
    <w:pPr>
      <w:spacing w:after="200" w:line="240" w:lineRule="auto"/>
    </w:pPr>
    <w:rPr>
      <w:i/>
      <w:iCs/>
      <w:sz w:val="20"/>
      <w:szCs w:val="18"/>
    </w:rPr>
  </w:style>
  <w:style w:type="character" w:customStyle="1" w:styleId="Heading4Char">
    <w:name w:val="Heading 4 Char"/>
    <w:basedOn w:val="DefaultParagraphFont"/>
    <w:link w:val="Heading4"/>
    <w:uiPriority w:val="9"/>
    <w:semiHidden/>
    <w:rsid w:val="00BB6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6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60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60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6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0D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70D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7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3B11E5"/>
  </w:style>
  <w:style w:type="paragraph" w:styleId="Header">
    <w:name w:val="header"/>
    <w:basedOn w:val="Normal"/>
    <w:link w:val="HeaderChar"/>
    <w:uiPriority w:val="99"/>
    <w:unhideWhenUsed/>
    <w:rsid w:val="003B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E5"/>
    <w:rPr>
      <w:rFonts w:ascii="Times New Roman" w:hAnsi="Times New Roman"/>
      <w:sz w:val="24"/>
    </w:rPr>
  </w:style>
  <w:style w:type="paragraph" w:styleId="Footer">
    <w:name w:val="footer"/>
    <w:basedOn w:val="Normal"/>
    <w:link w:val="FooterChar"/>
    <w:uiPriority w:val="99"/>
    <w:unhideWhenUsed/>
    <w:rsid w:val="003B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E5"/>
    <w:rPr>
      <w:rFonts w:ascii="Times New Roman" w:hAnsi="Times New Roman"/>
      <w:sz w:val="24"/>
    </w:rPr>
  </w:style>
  <w:style w:type="character" w:styleId="CommentReference">
    <w:name w:val="annotation reference"/>
    <w:basedOn w:val="DefaultParagraphFont"/>
    <w:uiPriority w:val="99"/>
    <w:semiHidden/>
    <w:unhideWhenUsed/>
    <w:rsid w:val="00676083"/>
    <w:rPr>
      <w:sz w:val="16"/>
      <w:szCs w:val="16"/>
    </w:rPr>
  </w:style>
  <w:style w:type="paragraph" w:styleId="CommentText">
    <w:name w:val="annotation text"/>
    <w:basedOn w:val="Normal"/>
    <w:link w:val="CommentTextChar"/>
    <w:uiPriority w:val="99"/>
    <w:unhideWhenUsed/>
    <w:rsid w:val="00676083"/>
    <w:pPr>
      <w:spacing w:line="240" w:lineRule="auto"/>
    </w:pPr>
    <w:rPr>
      <w:sz w:val="20"/>
      <w:szCs w:val="20"/>
    </w:rPr>
  </w:style>
  <w:style w:type="character" w:customStyle="1" w:styleId="CommentTextChar">
    <w:name w:val="Comment Text Char"/>
    <w:basedOn w:val="DefaultParagraphFont"/>
    <w:link w:val="CommentText"/>
    <w:uiPriority w:val="99"/>
    <w:rsid w:val="006760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6083"/>
    <w:rPr>
      <w:b/>
      <w:bCs/>
    </w:rPr>
  </w:style>
  <w:style w:type="character" w:customStyle="1" w:styleId="CommentSubjectChar">
    <w:name w:val="Comment Subject Char"/>
    <w:basedOn w:val="CommentTextChar"/>
    <w:link w:val="CommentSubject"/>
    <w:uiPriority w:val="99"/>
    <w:semiHidden/>
    <w:rsid w:val="00676083"/>
    <w:rPr>
      <w:rFonts w:ascii="Times New Roman" w:hAnsi="Times New Roman"/>
      <w:b/>
      <w:bCs/>
      <w:sz w:val="20"/>
      <w:szCs w:val="20"/>
    </w:rPr>
  </w:style>
  <w:style w:type="paragraph" w:styleId="Revision">
    <w:name w:val="Revision"/>
    <w:hidden/>
    <w:uiPriority w:val="99"/>
    <w:semiHidden/>
    <w:rsid w:val="006C576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1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254">
      <w:bodyDiv w:val="1"/>
      <w:marLeft w:val="0"/>
      <w:marRight w:val="0"/>
      <w:marTop w:val="0"/>
      <w:marBottom w:val="0"/>
      <w:divBdr>
        <w:top w:val="none" w:sz="0" w:space="0" w:color="auto"/>
        <w:left w:val="none" w:sz="0" w:space="0" w:color="auto"/>
        <w:bottom w:val="none" w:sz="0" w:space="0" w:color="auto"/>
        <w:right w:val="none" w:sz="0" w:space="0" w:color="auto"/>
      </w:divBdr>
    </w:div>
    <w:div w:id="41101715">
      <w:bodyDiv w:val="1"/>
      <w:marLeft w:val="0"/>
      <w:marRight w:val="0"/>
      <w:marTop w:val="0"/>
      <w:marBottom w:val="0"/>
      <w:divBdr>
        <w:top w:val="none" w:sz="0" w:space="0" w:color="auto"/>
        <w:left w:val="none" w:sz="0" w:space="0" w:color="auto"/>
        <w:bottom w:val="none" w:sz="0" w:space="0" w:color="auto"/>
        <w:right w:val="none" w:sz="0" w:space="0" w:color="auto"/>
      </w:divBdr>
    </w:div>
    <w:div w:id="294217573">
      <w:bodyDiv w:val="1"/>
      <w:marLeft w:val="0"/>
      <w:marRight w:val="0"/>
      <w:marTop w:val="0"/>
      <w:marBottom w:val="0"/>
      <w:divBdr>
        <w:top w:val="none" w:sz="0" w:space="0" w:color="auto"/>
        <w:left w:val="none" w:sz="0" w:space="0" w:color="auto"/>
        <w:bottom w:val="none" w:sz="0" w:space="0" w:color="auto"/>
        <w:right w:val="none" w:sz="0" w:space="0" w:color="auto"/>
      </w:divBdr>
    </w:div>
    <w:div w:id="440955908">
      <w:bodyDiv w:val="1"/>
      <w:marLeft w:val="0"/>
      <w:marRight w:val="0"/>
      <w:marTop w:val="0"/>
      <w:marBottom w:val="0"/>
      <w:divBdr>
        <w:top w:val="none" w:sz="0" w:space="0" w:color="auto"/>
        <w:left w:val="none" w:sz="0" w:space="0" w:color="auto"/>
        <w:bottom w:val="none" w:sz="0" w:space="0" w:color="auto"/>
        <w:right w:val="none" w:sz="0" w:space="0" w:color="auto"/>
      </w:divBdr>
    </w:div>
    <w:div w:id="518087269">
      <w:bodyDiv w:val="1"/>
      <w:marLeft w:val="0"/>
      <w:marRight w:val="0"/>
      <w:marTop w:val="0"/>
      <w:marBottom w:val="0"/>
      <w:divBdr>
        <w:top w:val="none" w:sz="0" w:space="0" w:color="auto"/>
        <w:left w:val="none" w:sz="0" w:space="0" w:color="auto"/>
        <w:bottom w:val="none" w:sz="0" w:space="0" w:color="auto"/>
        <w:right w:val="none" w:sz="0" w:space="0" w:color="auto"/>
      </w:divBdr>
    </w:div>
    <w:div w:id="530730630">
      <w:bodyDiv w:val="1"/>
      <w:marLeft w:val="0"/>
      <w:marRight w:val="0"/>
      <w:marTop w:val="0"/>
      <w:marBottom w:val="0"/>
      <w:divBdr>
        <w:top w:val="none" w:sz="0" w:space="0" w:color="auto"/>
        <w:left w:val="none" w:sz="0" w:space="0" w:color="auto"/>
        <w:bottom w:val="none" w:sz="0" w:space="0" w:color="auto"/>
        <w:right w:val="none" w:sz="0" w:space="0" w:color="auto"/>
      </w:divBdr>
    </w:div>
    <w:div w:id="601376709">
      <w:bodyDiv w:val="1"/>
      <w:marLeft w:val="0"/>
      <w:marRight w:val="0"/>
      <w:marTop w:val="0"/>
      <w:marBottom w:val="0"/>
      <w:divBdr>
        <w:top w:val="none" w:sz="0" w:space="0" w:color="auto"/>
        <w:left w:val="none" w:sz="0" w:space="0" w:color="auto"/>
        <w:bottom w:val="none" w:sz="0" w:space="0" w:color="auto"/>
        <w:right w:val="none" w:sz="0" w:space="0" w:color="auto"/>
      </w:divBdr>
    </w:div>
    <w:div w:id="657534987">
      <w:bodyDiv w:val="1"/>
      <w:marLeft w:val="0"/>
      <w:marRight w:val="0"/>
      <w:marTop w:val="0"/>
      <w:marBottom w:val="0"/>
      <w:divBdr>
        <w:top w:val="none" w:sz="0" w:space="0" w:color="auto"/>
        <w:left w:val="none" w:sz="0" w:space="0" w:color="auto"/>
        <w:bottom w:val="none" w:sz="0" w:space="0" w:color="auto"/>
        <w:right w:val="none" w:sz="0" w:space="0" w:color="auto"/>
      </w:divBdr>
    </w:div>
    <w:div w:id="666791710">
      <w:bodyDiv w:val="1"/>
      <w:marLeft w:val="0"/>
      <w:marRight w:val="0"/>
      <w:marTop w:val="0"/>
      <w:marBottom w:val="0"/>
      <w:divBdr>
        <w:top w:val="none" w:sz="0" w:space="0" w:color="auto"/>
        <w:left w:val="none" w:sz="0" w:space="0" w:color="auto"/>
        <w:bottom w:val="none" w:sz="0" w:space="0" w:color="auto"/>
        <w:right w:val="none" w:sz="0" w:space="0" w:color="auto"/>
      </w:divBdr>
    </w:div>
    <w:div w:id="688802575">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1052578540">
      <w:bodyDiv w:val="1"/>
      <w:marLeft w:val="0"/>
      <w:marRight w:val="0"/>
      <w:marTop w:val="0"/>
      <w:marBottom w:val="0"/>
      <w:divBdr>
        <w:top w:val="none" w:sz="0" w:space="0" w:color="auto"/>
        <w:left w:val="none" w:sz="0" w:space="0" w:color="auto"/>
        <w:bottom w:val="none" w:sz="0" w:space="0" w:color="auto"/>
        <w:right w:val="none" w:sz="0" w:space="0" w:color="auto"/>
      </w:divBdr>
    </w:div>
    <w:div w:id="1089693109">
      <w:bodyDiv w:val="1"/>
      <w:marLeft w:val="0"/>
      <w:marRight w:val="0"/>
      <w:marTop w:val="0"/>
      <w:marBottom w:val="0"/>
      <w:divBdr>
        <w:top w:val="none" w:sz="0" w:space="0" w:color="auto"/>
        <w:left w:val="none" w:sz="0" w:space="0" w:color="auto"/>
        <w:bottom w:val="none" w:sz="0" w:space="0" w:color="auto"/>
        <w:right w:val="none" w:sz="0" w:space="0" w:color="auto"/>
      </w:divBdr>
    </w:div>
    <w:div w:id="1106000622">
      <w:bodyDiv w:val="1"/>
      <w:marLeft w:val="0"/>
      <w:marRight w:val="0"/>
      <w:marTop w:val="0"/>
      <w:marBottom w:val="0"/>
      <w:divBdr>
        <w:top w:val="none" w:sz="0" w:space="0" w:color="auto"/>
        <w:left w:val="none" w:sz="0" w:space="0" w:color="auto"/>
        <w:bottom w:val="none" w:sz="0" w:space="0" w:color="auto"/>
        <w:right w:val="none" w:sz="0" w:space="0" w:color="auto"/>
      </w:divBdr>
    </w:div>
    <w:div w:id="1146967521">
      <w:bodyDiv w:val="1"/>
      <w:marLeft w:val="0"/>
      <w:marRight w:val="0"/>
      <w:marTop w:val="0"/>
      <w:marBottom w:val="0"/>
      <w:divBdr>
        <w:top w:val="none" w:sz="0" w:space="0" w:color="auto"/>
        <w:left w:val="none" w:sz="0" w:space="0" w:color="auto"/>
        <w:bottom w:val="none" w:sz="0" w:space="0" w:color="auto"/>
        <w:right w:val="none" w:sz="0" w:space="0" w:color="auto"/>
      </w:divBdr>
    </w:div>
    <w:div w:id="1187983768">
      <w:bodyDiv w:val="1"/>
      <w:marLeft w:val="0"/>
      <w:marRight w:val="0"/>
      <w:marTop w:val="0"/>
      <w:marBottom w:val="0"/>
      <w:divBdr>
        <w:top w:val="none" w:sz="0" w:space="0" w:color="auto"/>
        <w:left w:val="none" w:sz="0" w:space="0" w:color="auto"/>
        <w:bottom w:val="none" w:sz="0" w:space="0" w:color="auto"/>
        <w:right w:val="none" w:sz="0" w:space="0" w:color="auto"/>
      </w:divBdr>
    </w:div>
    <w:div w:id="1202590732">
      <w:bodyDiv w:val="1"/>
      <w:marLeft w:val="0"/>
      <w:marRight w:val="0"/>
      <w:marTop w:val="0"/>
      <w:marBottom w:val="0"/>
      <w:divBdr>
        <w:top w:val="none" w:sz="0" w:space="0" w:color="auto"/>
        <w:left w:val="none" w:sz="0" w:space="0" w:color="auto"/>
        <w:bottom w:val="none" w:sz="0" w:space="0" w:color="auto"/>
        <w:right w:val="none" w:sz="0" w:space="0" w:color="auto"/>
      </w:divBdr>
    </w:div>
    <w:div w:id="1222016189">
      <w:bodyDiv w:val="1"/>
      <w:marLeft w:val="0"/>
      <w:marRight w:val="0"/>
      <w:marTop w:val="0"/>
      <w:marBottom w:val="0"/>
      <w:divBdr>
        <w:top w:val="none" w:sz="0" w:space="0" w:color="auto"/>
        <w:left w:val="none" w:sz="0" w:space="0" w:color="auto"/>
        <w:bottom w:val="none" w:sz="0" w:space="0" w:color="auto"/>
        <w:right w:val="none" w:sz="0" w:space="0" w:color="auto"/>
      </w:divBdr>
    </w:div>
    <w:div w:id="1239902713">
      <w:bodyDiv w:val="1"/>
      <w:marLeft w:val="0"/>
      <w:marRight w:val="0"/>
      <w:marTop w:val="0"/>
      <w:marBottom w:val="0"/>
      <w:divBdr>
        <w:top w:val="none" w:sz="0" w:space="0" w:color="auto"/>
        <w:left w:val="none" w:sz="0" w:space="0" w:color="auto"/>
        <w:bottom w:val="none" w:sz="0" w:space="0" w:color="auto"/>
        <w:right w:val="none" w:sz="0" w:space="0" w:color="auto"/>
      </w:divBdr>
    </w:div>
    <w:div w:id="1355882112">
      <w:bodyDiv w:val="1"/>
      <w:marLeft w:val="0"/>
      <w:marRight w:val="0"/>
      <w:marTop w:val="0"/>
      <w:marBottom w:val="0"/>
      <w:divBdr>
        <w:top w:val="none" w:sz="0" w:space="0" w:color="auto"/>
        <w:left w:val="none" w:sz="0" w:space="0" w:color="auto"/>
        <w:bottom w:val="none" w:sz="0" w:space="0" w:color="auto"/>
        <w:right w:val="none" w:sz="0" w:space="0" w:color="auto"/>
      </w:divBdr>
    </w:div>
    <w:div w:id="1440446226">
      <w:bodyDiv w:val="1"/>
      <w:marLeft w:val="0"/>
      <w:marRight w:val="0"/>
      <w:marTop w:val="0"/>
      <w:marBottom w:val="0"/>
      <w:divBdr>
        <w:top w:val="none" w:sz="0" w:space="0" w:color="auto"/>
        <w:left w:val="none" w:sz="0" w:space="0" w:color="auto"/>
        <w:bottom w:val="none" w:sz="0" w:space="0" w:color="auto"/>
        <w:right w:val="none" w:sz="0" w:space="0" w:color="auto"/>
      </w:divBdr>
    </w:div>
    <w:div w:id="1480728421">
      <w:bodyDiv w:val="1"/>
      <w:marLeft w:val="0"/>
      <w:marRight w:val="0"/>
      <w:marTop w:val="0"/>
      <w:marBottom w:val="0"/>
      <w:divBdr>
        <w:top w:val="none" w:sz="0" w:space="0" w:color="auto"/>
        <w:left w:val="none" w:sz="0" w:space="0" w:color="auto"/>
        <w:bottom w:val="none" w:sz="0" w:space="0" w:color="auto"/>
        <w:right w:val="none" w:sz="0" w:space="0" w:color="auto"/>
      </w:divBdr>
    </w:div>
    <w:div w:id="1795320906">
      <w:bodyDiv w:val="1"/>
      <w:marLeft w:val="0"/>
      <w:marRight w:val="0"/>
      <w:marTop w:val="0"/>
      <w:marBottom w:val="0"/>
      <w:divBdr>
        <w:top w:val="none" w:sz="0" w:space="0" w:color="auto"/>
        <w:left w:val="none" w:sz="0" w:space="0" w:color="auto"/>
        <w:bottom w:val="none" w:sz="0" w:space="0" w:color="auto"/>
        <w:right w:val="none" w:sz="0" w:space="0" w:color="auto"/>
      </w:divBdr>
    </w:div>
    <w:div w:id="1805348887">
      <w:bodyDiv w:val="1"/>
      <w:marLeft w:val="0"/>
      <w:marRight w:val="0"/>
      <w:marTop w:val="0"/>
      <w:marBottom w:val="0"/>
      <w:divBdr>
        <w:top w:val="none" w:sz="0" w:space="0" w:color="auto"/>
        <w:left w:val="none" w:sz="0" w:space="0" w:color="auto"/>
        <w:bottom w:val="none" w:sz="0" w:space="0" w:color="auto"/>
        <w:right w:val="none" w:sz="0" w:space="0" w:color="auto"/>
      </w:divBdr>
    </w:div>
    <w:div w:id="1933931086">
      <w:bodyDiv w:val="1"/>
      <w:marLeft w:val="0"/>
      <w:marRight w:val="0"/>
      <w:marTop w:val="0"/>
      <w:marBottom w:val="0"/>
      <w:divBdr>
        <w:top w:val="none" w:sz="0" w:space="0" w:color="auto"/>
        <w:left w:val="none" w:sz="0" w:space="0" w:color="auto"/>
        <w:bottom w:val="none" w:sz="0" w:space="0" w:color="auto"/>
        <w:right w:val="none" w:sz="0" w:space="0" w:color="auto"/>
      </w:divBdr>
    </w:div>
    <w:div w:id="1969117004">
      <w:bodyDiv w:val="1"/>
      <w:marLeft w:val="0"/>
      <w:marRight w:val="0"/>
      <w:marTop w:val="0"/>
      <w:marBottom w:val="0"/>
      <w:divBdr>
        <w:top w:val="none" w:sz="0" w:space="0" w:color="auto"/>
        <w:left w:val="none" w:sz="0" w:space="0" w:color="auto"/>
        <w:bottom w:val="none" w:sz="0" w:space="0" w:color="auto"/>
        <w:right w:val="none" w:sz="0" w:space="0" w:color="auto"/>
      </w:divBdr>
    </w:div>
    <w:div w:id="2007629865">
      <w:bodyDiv w:val="1"/>
      <w:marLeft w:val="0"/>
      <w:marRight w:val="0"/>
      <w:marTop w:val="0"/>
      <w:marBottom w:val="0"/>
      <w:divBdr>
        <w:top w:val="none" w:sz="0" w:space="0" w:color="auto"/>
        <w:left w:val="none" w:sz="0" w:space="0" w:color="auto"/>
        <w:bottom w:val="none" w:sz="0" w:space="0" w:color="auto"/>
        <w:right w:val="none" w:sz="0" w:space="0" w:color="auto"/>
      </w:divBdr>
    </w:div>
    <w:div w:id="2079597764">
      <w:bodyDiv w:val="1"/>
      <w:marLeft w:val="0"/>
      <w:marRight w:val="0"/>
      <w:marTop w:val="0"/>
      <w:marBottom w:val="0"/>
      <w:divBdr>
        <w:top w:val="none" w:sz="0" w:space="0" w:color="auto"/>
        <w:left w:val="none" w:sz="0" w:space="0" w:color="auto"/>
        <w:bottom w:val="none" w:sz="0" w:space="0" w:color="auto"/>
        <w:right w:val="none" w:sz="0" w:space="0" w:color="auto"/>
      </w:divBdr>
    </w:div>
    <w:div w:id="20947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ohio.gov/ohio-revised-code/section-905.326" TargetMode="External"/><Relationship Id="rId13" Type="http://schemas.openxmlformats.org/officeDocument/2006/relationships/hyperlink" Target="http://pubs.er.usgs.gov/publication/sir20235003"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19january2017snapshot.epa.gov/newsreleases/governments-canada-and-united-states-announce-phosphorus-reduction-targets-40-percent_.html" TargetMode="External"/><Relationship Id="rId7" Type="http://schemas.openxmlformats.org/officeDocument/2006/relationships/endnotes" Target="endnotes.xml"/><Relationship Id="rId12" Type="http://schemas.openxmlformats.org/officeDocument/2006/relationships/hyperlink" Target="https://doi.org/10.1016/j.jglr.2018.11.012" TargetMode="External"/><Relationship Id="rId17" Type="http://schemas.openxmlformats.org/officeDocument/2006/relationships/hyperlink" Target="https://doi.org/10.5281/zenodo.6606950" TargetMode="External"/><Relationship Id="rId2" Type="http://schemas.openxmlformats.org/officeDocument/2006/relationships/numbering" Target="numbering.xml"/><Relationship Id="rId16" Type="http://schemas.openxmlformats.org/officeDocument/2006/relationships/hyperlink" Target="https://doi.org/10.13031/ja.15572" TargetMode="External"/><Relationship Id="rId20" Type="http://schemas.openxmlformats.org/officeDocument/2006/relationships/hyperlink" Target="https://doi.org/10.1016/j.jglr.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glr.2014.05.0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752-1688.2010.00482.x" TargetMode="External"/><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hyperlink" Target="https://doi.org/10.1016/j.ecolind.2021.1076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envsoft.2015.07.01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D32B-1DB0-4211-A763-727BF8D1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21</Pages>
  <Words>7150</Words>
  <Characters>40759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18</cp:revision>
  <cp:lastPrinted>2023-09-26T11:59:00Z</cp:lastPrinted>
  <dcterms:created xsi:type="dcterms:W3CDTF">2023-09-27T13:52:00Z</dcterms:created>
  <dcterms:modified xsi:type="dcterms:W3CDTF">2023-11-13T16:28:00Z</dcterms:modified>
</cp:coreProperties>
</file>