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D1CF2" w:rsidR="001A27FB" w:rsidP="001A27FB" w:rsidRDefault="001A27FB" w14:paraId="34934646" wp14:textId="77777777">
      <w:pPr>
        <w:jc w:val="center"/>
        <w:rPr>
          <w:rFonts w:cstheme="minorHAnsi"/>
          <w:b/>
          <w:bCs/>
          <w:sz w:val="22"/>
          <w:szCs w:val="22"/>
        </w:rPr>
      </w:pPr>
      <w:proofErr w:type="spellStart"/>
      <w:r>
        <w:rPr>
          <w:rFonts w:cstheme="minorHAnsi"/>
          <w:b/>
          <w:bCs/>
          <w:sz w:val="22"/>
          <w:szCs w:val="22"/>
        </w:rPr>
        <w:t>SToP</w:t>
      </w:r>
      <w:proofErr w:type="spellEnd"/>
      <w:r>
        <w:rPr>
          <w:rFonts w:cstheme="minorHAnsi"/>
          <w:b/>
          <w:bCs/>
          <w:sz w:val="22"/>
          <w:szCs w:val="22"/>
        </w:rPr>
        <w:t>-CDI Lab Protocol (Biobanking Only)</w:t>
      </w:r>
    </w:p>
    <w:p xmlns:wp14="http://schemas.microsoft.com/office/word/2010/wordml" w:rsidRPr="000D1CF2" w:rsidR="001A27FB" w:rsidP="001A27FB" w:rsidRDefault="001A27FB" w14:paraId="672A6659" wp14:textId="77777777">
      <w:pPr>
        <w:rPr>
          <w:rFonts w:cstheme="minorHAnsi"/>
          <w:sz w:val="22"/>
          <w:szCs w:val="22"/>
        </w:rPr>
      </w:pPr>
    </w:p>
    <w:p xmlns:wp14="http://schemas.microsoft.com/office/word/2010/wordml" w:rsidRPr="000D1CF2" w:rsidR="001A27FB" w:rsidP="001A27FB" w:rsidRDefault="001A27FB" w14:paraId="4065BE28" wp14:textId="77777777">
      <w:pPr>
        <w:pStyle w:val="NoSpacing"/>
        <w:rPr>
          <w:rFonts w:cstheme="minorHAnsi"/>
        </w:rPr>
      </w:pPr>
      <w:r w:rsidRPr="000D1CF2">
        <w:rPr>
          <w:rFonts w:cstheme="minorHAnsi"/>
          <w:b/>
        </w:rPr>
        <w:t>Purpose</w:t>
      </w:r>
      <w:r w:rsidRPr="000D1CF2">
        <w:rPr>
          <w:rFonts w:cstheme="minorHAnsi"/>
        </w:rPr>
        <w:t xml:space="preserve">  </w:t>
      </w:r>
    </w:p>
    <w:p xmlns:wp14="http://schemas.microsoft.com/office/word/2010/wordml" w:rsidRPr="00AD31B2" w:rsidR="001A27FB" w:rsidP="001A27FB" w:rsidRDefault="001A27FB" w14:paraId="0A37501D" wp14:textId="77777777">
      <w:pPr>
        <w:pStyle w:val="NoSpacing"/>
        <w:rPr>
          <w:rFonts w:cstheme="minorHAnsi"/>
        </w:rPr>
      </w:pPr>
    </w:p>
    <w:p xmlns:wp14="http://schemas.microsoft.com/office/word/2010/wordml" w:rsidRPr="000D1CF2" w:rsidR="001A27FB" w:rsidP="187C8765" w:rsidRDefault="001A27FB" w14:paraId="6A05A809" wp14:textId="7AF2A7B5">
      <w:pPr>
        <w:rPr>
          <w:rFonts w:cs="Calibri" w:cstheme="minorAscii"/>
          <w:sz w:val="22"/>
          <w:szCs w:val="22"/>
        </w:rPr>
        <w:sectPr w:rsidRPr="000D1CF2" w:rsidR="001A27FB" w:rsidSect="001712EB">
          <w:headerReference w:type="default" r:id="rId7"/>
          <w:pgSz w:w="12240" w:h="15840" w:orient="portrait"/>
          <w:pgMar w:top="720" w:right="720" w:bottom="720" w:left="720" w:header="720" w:footer="720" w:gutter="0"/>
          <w:cols w:space="720"/>
          <w:docGrid w:linePitch="360"/>
          <w:footerReference w:type="default" r:id="R1fc0655bcb274130"/>
        </w:sectPr>
      </w:pPr>
      <w:r w:rsidRPr="187C8765" w:rsidR="187C8765">
        <w:rPr>
          <w:rFonts w:cs="Calibri" w:cstheme="minorAscii"/>
          <w:sz w:val="22"/>
          <w:szCs w:val="22"/>
        </w:rPr>
        <w:t xml:space="preserve">To biobank samples associated with the </w:t>
      </w:r>
      <w:proofErr w:type="spellStart"/>
      <w:r w:rsidRPr="187C8765" w:rsidR="187C8765">
        <w:rPr>
          <w:rFonts w:cs="Calibri" w:cstheme="minorAscii"/>
          <w:sz w:val="22"/>
          <w:szCs w:val="22"/>
        </w:rPr>
        <w:t>SToP</w:t>
      </w:r>
      <w:proofErr w:type="spellEnd"/>
      <w:r w:rsidRPr="187C8765" w:rsidR="187C8765">
        <w:rPr>
          <w:rFonts w:cs="Calibri" w:cstheme="minorAscii"/>
          <w:sz w:val="22"/>
          <w:szCs w:val="22"/>
        </w:rPr>
        <w:t xml:space="preserve">-CDI research study. These samples first go to the microbiology lab located at 4 Gates, where upon stool testing, each patient’s swab is either used for further testing or if negative, aliquoted and/or sorted such that they can then be </w:t>
      </w:r>
      <w:proofErr w:type="spellStart"/>
      <w:r w:rsidRPr="187C8765" w:rsidR="187C8765">
        <w:rPr>
          <w:rFonts w:cs="Calibri" w:cstheme="minorAscii"/>
          <w:sz w:val="22"/>
          <w:szCs w:val="22"/>
        </w:rPr>
        <w:t>biobanked</w:t>
      </w:r>
      <w:proofErr w:type="spellEnd"/>
      <w:r w:rsidRPr="187C8765" w:rsidR="187C8765">
        <w:rPr>
          <w:rFonts w:cs="Calibri" w:cstheme="minorAscii"/>
          <w:sz w:val="22"/>
          <w:szCs w:val="22"/>
        </w:rPr>
        <w:t xml:space="preserve"> in the ARES lab.</w:t>
      </w:r>
    </w:p>
    <w:p w:rsidR="187C8765" w:rsidP="187C8765" w:rsidRDefault="187C8765" w14:paraId="6C75EF0A" w14:textId="5D3A7173">
      <w:pPr>
        <w:rPr>
          <w:rFonts w:cs="Calibri" w:cstheme="minorAscii"/>
          <w:b w:val="1"/>
          <w:bCs w:val="1"/>
          <w:sz w:val="22"/>
          <w:szCs w:val="22"/>
        </w:rPr>
      </w:pPr>
    </w:p>
    <w:p w:rsidR="187C8765" w:rsidP="187C8765" w:rsidRDefault="187C8765" w14:paraId="7CE673FD" w14:textId="56AB6163">
      <w:pPr>
        <w:rPr>
          <w:rFonts w:cs="Calibri" w:cstheme="minorAscii"/>
          <w:sz w:val="22"/>
          <w:szCs w:val="22"/>
        </w:rPr>
      </w:pPr>
      <w:r w:rsidRPr="187C8765" w:rsidR="187C8765">
        <w:rPr>
          <w:rFonts w:cs="Calibri" w:cstheme="minorAscii"/>
          <w:b w:val="1"/>
          <w:bCs w:val="1"/>
          <w:sz w:val="22"/>
          <w:szCs w:val="22"/>
        </w:rPr>
        <w:t>Materials &amp; Equipment</w:t>
      </w:r>
    </w:p>
    <w:p xmlns:wp14="http://schemas.microsoft.com/office/word/2010/wordml" w:rsidR="001A27FB" w:rsidP="001A27FB" w:rsidRDefault="001A27FB" w14:paraId="2BF854CA" wp14:textId="44E701B2">
      <w:pPr>
        <w:pStyle w:val="NoSpacing"/>
        <w:numPr>
          <w:ilvl w:val="0"/>
          <w:numId w:val="1"/>
        </w:numPr>
        <w:rPr/>
      </w:pPr>
      <w:r w:rsidR="187C8765">
        <w:rPr/>
        <w:t>Samples</w:t>
      </w:r>
    </w:p>
    <w:p w:rsidR="187C8765" w:rsidP="187C8765" w:rsidRDefault="187C8765" w14:paraId="1D4EC504" w14:textId="360673AF">
      <w:pPr>
        <w:pStyle w:val="NoSpacing"/>
        <w:numPr>
          <w:ilvl w:val="1"/>
          <w:numId w:val="1"/>
        </w:numPr>
        <w:rPr/>
      </w:pPr>
      <w:r w:rsidR="187C8765">
        <w:rPr/>
        <w:t>One Copan swab/patient</w:t>
      </w:r>
    </w:p>
    <w:p w:rsidR="187C8765" w:rsidP="187C8765" w:rsidRDefault="187C8765" w14:paraId="735B0B05" w14:textId="5DE6BFC9">
      <w:pPr>
        <w:pStyle w:val="NoSpacing"/>
        <w:numPr>
          <w:ilvl w:val="1"/>
          <w:numId w:val="1"/>
        </w:numPr>
        <w:rPr/>
      </w:pPr>
      <w:r w:rsidR="187C8765">
        <w:rPr/>
        <w:t>Two 2mL tubes containing 400µL of e-swab fluid, aliquoted at the microbiology laboratory</w:t>
      </w:r>
    </w:p>
    <w:p xmlns:wp14="http://schemas.microsoft.com/office/word/2010/wordml" w:rsidR="001A27FB" w:rsidP="001A27FB" w:rsidRDefault="001A27FB" w14:paraId="095C839A" wp14:textId="77777777">
      <w:pPr>
        <w:pStyle w:val="NoSpacing"/>
        <w:numPr>
          <w:ilvl w:val="0"/>
          <w:numId w:val="1"/>
        </w:numPr>
      </w:pPr>
      <w:r>
        <w:t>LabVantage Labels</w:t>
      </w:r>
    </w:p>
    <w:p xmlns:wp14="http://schemas.microsoft.com/office/word/2010/wordml" w:rsidR="00A85223" w:rsidP="001A27FB" w:rsidRDefault="00A85223" w14:paraId="14AB8A8E" wp14:textId="77777777">
      <w:pPr>
        <w:pStyle w:val="NoSpacing"/>
        <w:numPr>
          <w:ilvl w:val="0"/>
          <w:numId w:val="1"/>
        </w:numPr>
      </w:pPr>
      <w:r>
        <w:t xml:space="preserve">-80°C freezer </w:t>
      </w:r>
    </w:p>
    <w:p xmlns:wp14="http://schemas.microsoft.com/office/word/2010/wordml" w:rsidRPr="001A27FB" w:rsidR="00A85223" w:rsidP="001A27FB" w:rsidRDefault="00A85223" w14:paraId="7B381497" wp14:textId="77777777">
      <w:pPr>
        <w:pStyle w:val="NoSpacing"/>
        <w:numPr>
          <w:ilvl w:val="0"/>
          <w:numId w:val="1"/>
        </w:numPr>
      </w:pPr>
      <w:r>
        <w:t>Freezer boxes with 10x10 dividers</w:t>
      </w:r>
    </w:p>
    <w:p xmlns:wp14="http://schemas.microsoft.com/office/word/2010/wordml" w:rsidRPr="000D1CF2" w:rsidR="001A27FB" w:rsidP="001A27FB" w:rsidRDefault="001A27FB" w14:paraId="5A39BBE3" wp14:textId="77777777">
      <w:pPr>
        <w:rPr>
          <w:rFonts w:cstheme="minorHAnsi"/>
          <w:b/>
          <w:bCs/>
          <w:sz w:val="22"/>
          <w:szCs w:val="22"/>
        </w:rPr>
      </w:pPr>
    </w:p>
    <w:p xmlns:wp14="http://schemas.microsoft.com/office/word/2010/wordml" w:rsidR="001A27FB" w:rsidP="001A27FB" w:rsidRDefault="001A27FB" w14:paraId="18941B14" wp14:textId="77777777">
      <w:pPr>
        <w:pStyle w:val="ListParagraph"/>
        <w:numPr>
          <w:ilvl w:val="0"/>
          <w:numId w:val="3"/>
        </w:numPr>
        <w:rPr>
          <w:rFonts w:cstheme="minorHAnsi"/>
          <w:sz w:val="22"/>
          <w:szCs w:val="22"/>
          <w:u w:val="single"/>
        </w:rPr>
      </w:pPr>
      <w:r>
        <w:rPr>
          <w:rFonts w:cstheme="minorHAnsi"/>
          <w:sz w:val="22"/>
          <w:szCs w:val="22"/>
          <w:u w:val="single"/>
        </w:rPr>
        <w:t>Accessioning Swabs in LabVantage</w:t>
      </w:r>
    </w:p>
    <w:p xmlns:wp14="http://schemas.microsoft.com/office/word/2010/wordml" w:rsidR="001A27FB" w:rsidP="001A27FB" w:rsidRDefault="001A27FB" w14:paraId="0D76B02A" wp14:textId="77777777">
      <w:pPr>
        <w:pStyle w:val="ListParagraph"/>
        <w:numPr>
          <w:ilvl w:val="1"/>
          <w:numId w:val="3"/>
        </w:numPr>
        <w:rPr>
          <w:rFonts w:cstheme="minorHAnsi"/>
          <w:sz w:val="22"/>
          <w:szCs w:val="22"/>
        </w:rPr>
      </w:pPr>
      <w:r>
        <w:rPr>
          <w:rFonts w:cstheme="minorHAnsi"/>
          <w:sz w:val="22"/>
          <w:szCs w:val="22"/>
        </w:rPr>
        <w:t>Log onto LabVantage, making sure that your session is within the PROD environment.</w:t>
      </w:r>
    </w:p>
    <w:p xmlns:wp14="http://schemas.microsoft.com/office/word/2010/wordml" w:rsidRPr="009675E2" w:rsidR="003351AE" w:rsidP="009675E2" w:rsidRDefault="001A27FB" w14:paraId="60CC7FD2" wp14:textId="77777777">
      <w:pPr>
        <w:pStyle w:val="ListParagraph"/>
        <w:numPr>
          <w:ilvl w:val="1"/>
          <w:numId w:val="3"/>
        </w:numPr>
        <w:rPr>
          <w:rFonts w:cstheme="minorHAnsi"/>
          <w:sz w:val="22"/>
          <w:szCs w:val="22"/>
        </w:rPr>
      </w:pPr>
      <w:r>
        <w:rPr>
          <w:rFonts w:cstheme="minorHAnsi"/>
          <w:sz w:val="22"/>
          <w:szCs w:val="22"/>
        </w:rPr>
        <w:t xml:space="preserve">Within the home screen options, under “Sample Management,” click the “receive and accession samples” option. </w:t>
      </w:r>
    </w:p>
    <w:p xmlns:wp14="http://schemas.microsoft.com/office/word/2010/wordml" w:rsidR="001A27FB" w:rsidP="001A27FB" w:rsidRDefault="001A27FB" w14:paraId="4B67A15F" wp14:textId="77777777">
      <w:pPr>
        <w:pStyle w:val="ListParagraph"/>
        <w:numPr>
          <w:ilvl w:val="1"/>
          <w:numId w:val="3"/>
        </w:numPr>
        <w:rPr>
          <w:rFonts w:cstheme="minorHAnsi"/>
          <w:sz w:val="22"/>
          <w:szCs w:val="22"/>
        </w:rPr>
      </w:pPr>
      <w:r>
        <w:rPr>
          <w:rFonts w:cstheme="minorHAnsi"/>
          <w:sz w:val="22"/>
          <w:szCs w:val="22"/>
        </w:rPr>
        <w:t xml:space="preserve">Under Study, type </w:t>
      </w:r>
      <w:proofErr w:type="spellStart"/>
      <w:r>
        <w:rPr>
          <w:rFonts w:cstheme="minorHAnsi"/>
          <w:sz w:val="22"/>
          <w:szCs w:val="22"/>
        </w:rPr>
        <w:t>ID_SToP</w:t>
      </w:r>
      <w:proofErr w:type="spellEnd"/>
      <w:r>
        <w:rPr>
          <w:rFonts w:cstheme="minorHAnsi"/>
          <w:sz w:val="22"/>
          <w:szCs w:val="22"/>
        </w:rPr>
        <w:t xml:space="preserve">-CDI. </w:t>
      </w:r>
    </w:p>
    <w:p xmlns:wp14="http://schemas.microsoft.com/office/word/2010/wordml" w:rsidR="001A27FB" w:rsidP="001A27FB" w:rsidRDefault="001A27FB" w14:paraId="7F9EEC98" wp14:textId="77777777">
      <w:pPr>
        <w:pStyle w:val="ListParagraph"/>
        <w:numPr>
          <w:ilvl w:val="1"/>
          <w:numId w:val="3"/>
        </w:numPr>
        <w:rPr>
          <w:rFonts w:cstheme="minorHAnsi"/>
          <w:sz w:val="22"/>
          <w:szCs w:val="22"/>
        </w:rPr>
      </w:pPr>
      <w:r>
        <w:rPr>
          <w:rFonts w:cstheme="minorHAnsi"/>
          <w:sz w:val="22"/>
          <w:szCs w:val="22"/>
        </w:rPr>
        <w:t>Under Site, pull the drop down menu down and select “UPHS.”</w:t>
      </w:r>
    </w:p>
    <w:p xmlns:wp14="http://schemas.microsoft.com/office/word/2010/wordml" w:rsidR="001A27FB" w:rsidP="001A27FB" w:rsidRDefault="00DB7A63" w14:paraId="2B89F93F" wp14:textId="77777777">
      <w:pPr>
        <w:pStyle w:val="ListParagraph"/>
        <w:numPr>
          <w:ilvl w:val="1"/>
          <w:numId w:val="3"/>
        </w:numPr>
        <w:rPr>
          <w:rFonts w:cstheme="minorHAnsi"/>
          <w:sz w:val="22"/>
          <w:szCs w:val="22"/>
        </w:rPr>
      </w:pPr>
      <w:r>
        <w:rPr>
          <w:rFonts w:cstheme="minorHAnsi"/>
          <w:sz w:val="22"/>
          <w:szCs w:val="22"/>
        </w:rPr>
        <w:t>Under “Choose Clinical Events,” select “General Collection.”</w:t>
      </w:r>
    </w:p>
    <w:p xmlns:wp14="http://schemas.microsoft.com/office/word/2010/wordml" w:rsidRPr="009675E2" w:rsidR="003351AE" w:rsidP="009675E2" w:rsidRDefault="00DB7A63" w14:paraId="60DA5630" wp14:textId="77777777">
      <w:pPr>
        <w:pStyle w:val="ListParagraph"/>
        <w:numPr>
          <w:ilvl w:val="1"/>
          <w:numId w:val="3"/>
        </w:numPr>
        <w:rPr>
          <w:rFonts w:cstheme="minorHAnsi"/>
          <w:sz w:val="22"/>
          <w:szCs w:val="22"/>
        </w:rPr>
      </w:pPr>
      <w:r>
        <w:rPr>
          <w:rFonts w:cstheme="minorHAnsi"/>
          <w:sz w:val="22"/>
          <w:szCs w:val="22"/>
        </w:rPr>
        <w:t>Click the calendar under “Additional Attributes” and select the date and time.</w:t>
      </w:r>
      <w:r w:rsidR="003351AE">
        <w:rPr>
          <w:rFonts w:cstheme="minorHAnsi"/>
          <w:sz w:val="22"/>
          <w:szCs w:val="22"/>
        </w:rPr>
        <w:t xml:space="preserve"> Click “Next.”</w:t>
      </w:r>
      <w:bookmarkStart w:name="_GoBack" w:id="0"/>
      <w:bookmarkEnd w:id="0"/>
    </w:p>
    <w:p xmlns:wp14="http://schemas.microsoft.com/office/word/2010/wordml" w:rsidR="003351AE" w:rsidP="187C8765" w:rsidRDefault="003351AE" w14:paraId="582F79BF" wp14:textId="50D6EBB9">
      <w:pPr>
        <w:pStyle w:val="ListParagraph"/>
        <w:numPr>
          <w:ilvl w:val="1"/>
          <w:numId w:val="3"/>
        </w:numPr>
        <w:rPr>
          <w:rFonts w:cs="Calibri" w:cstheme="minorAscii"/>
          <w:sz w:val="22"/>
          <w:szCs w:val="22"/>
        </w:rPr>
      </w:pPr>
      <w:r w:rsidRPr="187C8765" w:rsidR="187C8765">
        <w:rPr>
          <w:rFonts w:cs="Calibri" w:cstheme="minorAscii"/>
          <w:sz w:val="22"/>
          <w:szCs w:val="22"/>
        </w:rPr>
        <w:t xml:space="preserve">Under “Description,” type the subject ID (CDI_####) and then click the “Add New Subject” button. A new window will pop up. Click “Save” in this new window and then close the popup. </w:t>
      </w:r>
    </w:p>
    <w:p xmlns:wp14="http://schemas.microsoft.com/office/word/2010/wordml" w:rsidR="0046100A" w:rsidP="003351AE" w:rsidRDefault="0046100A" w14:paraId="306D7F9A" wp14:textId="77777777">
      <w:pPr>
        <w:pStyle w:val="ListParagraph"/>
        <w:numPr>
          <w:ilvl w:val="1"/>
          <w:numId w:val="3"/>
        </w:numPr>
        <w:rPr>
          <w:rFonts w:cstheme="minorHAnsi"/>
          <w:sz w:val="22"/>
          <w:szCs w:val="22"/>
        </w:rPr>
      </w:pPr>
      <w:r>
        <w:rPr>
          <w:rFonts w:cstheme="minorHAnsi"/>
          <w:sz w:val="22"/>
          <w:szCs w:val="22"/>
        </w:rPr>
        <w:t xml:space="preserve">Click “Search Subject” and you should see the subject you just entered appear in the resulting chart that now also contains </w:t>
      </w:r>
      <w:proofErr w:type="gramStart"/>
      <w:r>
        <w:rPr>
          <w:rFonts w:cstheme="minorHAnsi"/>
          <w:sz w:val="22"/>
          <w:szCs w:val="22"/>
        </w:rPr>
        <w:t>it’s</w:t>
      </w:r>
      <w:proofErr w:type="gramEnd"/>
      <w:r>
        <w:rPr>
          <w:rFonts w:cstheme="minorHAnsi"/>
          <w:sz w:val="22"/>
          <w:szCs w:val="22"/>
        </w:rPr>
        <w:t xml:space="preserve"> subject identifier. Check the box pertaining to the subject and click “Next.” </w:t>
      </w:r>
    </w:p>
    <w:p xmlns:wp14="http://schemas.microsoft.com/office/word/2010/wordml" w:rsidR="0046100A" w:rsidP="003351AE" w:rsidRDefault="0046100A" w14:paraId="4F13C7B2" wp14:textId="77777777">
      <w:pPr>
        <w:pStyle w:val="ListParagraph"/>
        <w:numPr>
          <w:ilvl w:val="1"/>
          <w:numId w:val="3"/>
        </w:numPr>
        <w:rPr>
          <w:rFonts w:cstheme="minorHAnsi"/>
          <w:sz w:val="22"/>
          <w:szCs w:val="22"/>
        </w:rPr>
      </w:pPr>
      <w:r>
        <w:rPr>
          <w:rFonts w:cstheme="minorHAnsi"/>
          <w:sz w:val="22"/>
          <w:szCs w:val="22"/>
        </w:rPr>
        <w:t>Click “Enroll.”</w:t>
      </w:r>
    </w:p>
    <w:p xmlns:wp14="http://schemas.microsoft.com/office/word/2010/wordml" w:rsidR="0046100A" w:rsidP="187C8765" w:rsidRDefault="0046100A" w14:paraId="35B7CAC0" wp14:textId="367863D4">
      <w:pPr>
        <w:pStyle w:val="ListParagraph"/>
        <w:numPr>
          <w:ilvl w:val="1"/>
          <w:numId w:val="3"/>
        </w:numPr>
        <w:rPr>
          <w:rFonts w:cs="Calibri" w:cstheme="minorAscii"/>
          <w:sz w:val="22"/>
          <w:szCs w:val="22"/>
        </w:rPr>
      </w:pPr>
      <w:r w:rsidRPr="187C8765" w:rsidR="187C8765">
        <w:rPr>
          <w:rFonts w:cs="Calibri" w:cstheme="minorAscii"/>
          <w:sz w:val="22"/>
          <w:szCs w:val="22"/>
        </w:rPr>
        <w:t>You will now see a list of sample types consisting of Perirectal Swab, Rectal Swab and Stool Swab. Select the appropriate swab based on the STOPCDI Enrollment spreadsheet on box (</w:t>
      </w:r>
      <w:r w:rsidRPr="187C8765" w:rsidR="187C8765">
        <w:rPr>
          <w:rFonts w:cs="Calibri" w:cstheme="minorAscii"/>
          <w:b w:val="1"/>
          <w:bCs w:val="1"/>
          <w:sz w:val="22"/>
          <w:szCs w:val="22"/>
        </w:rPr>
        <w:t>Note</w:t>
      </w:r>
      <w:r w:rsidRPr="187C8765" w:rsidR="187C8765">
        <w:rPr>
          <w:rFonts w:cs="Calibri" w:cstheme="minorAscii"/>
          <w:sz w:val="22"/>
          <w:szCs w:val="22"/>
        </w:rPr>
        <w:t xml:space="preserve">: swab type will be listed in the “date collected” if peri-rectal – otherwise, assume rectal). </w:t>
      </w:r>
    </w:p>
    <w:p w:rsidR="187C8765" w:rsidP="187C8765" w:rsidRDefault="187C8765" w14:paraId="5B9B9596" w14:textId="486F891A">
      <w:pPr>
        <w:pStyle w:val="ListParagraph"/>
        <w:numPr>
          <w:ilvl w:val="2"/>
          <w:numId w:val="3"/>
        </w:numPr>
        <w:rPr>
          <w:b w:val="1"/>
          <w:bCs w:val="1"/>
          <w:sz w:val="22"/>
          <w:szCs w:val="22"/>
        </w:rPr>
      </w:pPr>
      <w:r w:rsidRPr="187C8765" w:rsidR="187C8765">
        <w:rPr>
          <w:rFonts w:cs="Calibri" w:cstheme="minorAscii"/>
          <w:b w:val="1"/>
          <w:bCs w:val="1"/>
          <w:sz w:val="22"/>
          <w:szCs w:val="22"/>
        </w:rPr>
        <w:t>This accessioned sample will be for the COPAN SWAB.</w:t>
      </w:r>
    </w:p>
    <w:p xmlns:wp14="http://schemas.microsoft.com/office/word/2010/wordml" w:rsidR="00D563F9" w:rsidP="187C8765" w:rsidRDefault="00D563F9" w14:paraId="73C245BD" wp14:textId="77777777">
      <w:pPr>
        <w:pStyle w:val="ListParagraph"/>
        <w:numPr>
          <w:ilvl w:val="1"/>
          <w:numId w:val="3"/>
        </w:numPr>
        <w:rPr>
          <w:rFonts w:cs="Calibri" w:cstheme="minorAscii"/>
          <w:sz w:val="22"/>
          <w:szCs w:val="22"/>
        </w:rPr>
      </w:pPr>
      <w:r w:rsidRPr="187C8765" w:rsidR="187C8765">
        <w:rPr>
          <w:rFonts w:cs="Calibri" w:cstheme="minorAscii"/>
          <w:sz w:val="22"/>
          <w:szCs w:val="22"/>
        </w:rPr>
        <w:t>Within the “External Participant ID” field, type the subject ID (note: this should be the same ID you used to create and enroll the subject in steps g-</w:t>
      </w:r>
      <w:proofErr w:type="spellStart"/>
      <w:r w:rsidRPr="187C8765" w:rsidR="187C8765">
        <w:rPr>
          <w:rFonts w:cs="Calibri" w:cstheme="minorAscii"/>
          <w:sz w:val="22"/>
          <w:szCs w:val="22"/>
        </w:rPr>
        <w:t>i</w:t>
      </w:r>
      <w:proofErr w:type="spellEnd"/>
      <w:r w:rsidRPr="187C8765" w:rsidR="187C8765">
        <w:rPr>
          <w:rFonts w:cs="Calibri" w:cstheme="minorAscii"/>
          <w:sz w:val="22"/>
          <w:szCs w:val="22"/>
        </w:rPr>
        <w:t xml:space="preserve">). </w:t>
      </w:r>
    </w:p>
    <w:p xmlns:wp14="http://schemas.microsoft.com/office/word/2010/wordml" w:rsidR="002F0E38" w:rsidP="187C8765" w:rsidRDefault="002F0E38" w14:paraId="16F6EDA7" wp14:textId="77777777">
      <w:pPr>
        <w:pStyle w:val="ListParagraph"/>
        <w:numPr>
          <w:ilvl w:val="1"/>
          <w:numId w:val="3"/>
        </w:numPr>
        <w:rPr>
          <w:rFonts w:cs="Calibri" w:cstheme="minorAscii"/>
          <w:sz w:val="22"/>
          <w:szCs w:val="22"/>
        </w:rPr>
      </w:pPr>
      <w:r w:rsidRPr="187C8765" w:rsidR="187C8765">
        <w:rPr>
          <w:rFonts w:cs="Calibri" w:cstheme="minorAscii"/>
          <w:sz w:val="22"/>
          <w:szCs w:val="22"/>
        </w:rPr>
        <w:t>Click “Next.”</w:t>
      </w:r>
    </w:p>
    <w:p xmlns:wp14="http://schemas.microsoft.com/office/word/2010/wordml" w:rsidR="002F0E38" w:rsidP="187C8765" w:rsidRDefault="002F0E38" w14:paraId="6C27AD43" wp14:textId="77777777">
      <w:pPr>
        <w:pStyle w:val="ListParagraph"/>
        <w:numPr>
          <w:ilvl w:val="1"/>
          <w:numId w:val="3"/>
        </w:numPr>
        <w:rPr>
          <w:rFonts w:cs="Calibri" w:cstheme="minorAscii"/>
          <w:sz w:val="22"/>
          <w:szCs w:val="22"/>
        </w:rPr>
      </w:pPr>
      <w:r w:rsidRPr="187C8765" w:rsidR="187C8765">
        <w:rPr>
          <w:rFonts w:cs="Calibri" w:cstheme="minorAscii"/>
          <w:sz w:val="22"/>
          <w:szCs w:val="22"/>
        </w:rPr>
        <w:t>Click “Next.”</w:t>
      </w:r>
    </w:p>
    <w:p xmlns:wp14="http://schemas.microsoft.com/office/word/2010/wordml" w:rsidR="00075F1F" w:rsidP="187C8765" w:rsidRDefault="002F0E38" w14:paraId="3608BDF0" wp14:textId="77777777" wp14:noSpellErr="1">
      <w:pPr>
        <w:pStyle w:val="ListParagraph"/>
        <w:numPr>
          <w:ilvl w:val="1"/>
          <w:numId w:val="3"/>
        </w:numPr>
        <w:rPr>
          <w:rFonts w:cs="Calibri" w:cstheme="minorAscii"/>
          <w:sz w:val="22"/>
          <w:szCs w:val="22"/>
        </w:rPr>
      </w:pPr>
      <w:r w:rsidRPr="187C8765" w:rsidR="187C8765">
        <w:rPr>
          <w:rFonts w:cs="Calibri" w:cstheme="minorAscii"/>
          <w:sz w:val="22"/>
          <w:szCs w:val="22"/>
        </w:rPr>
        <w:t xml:space="preserve">Click “Complete.” Your samples </w:t>
      </w:r>
      <w:r w:rsidRPr="187C8765" w:rsidR="187C8765">
        <w:rPr>
          <w:rFonts w:cs="Calibri" w:cstheme="minorAscii"/>
          <w:sz w:val="22"/>
          <w:szCs w:val="22"/>
        </w:rPr>
        <w:t>have now been successfully accessioned</w:t>
      </w:r>
      <w:r w:rsidRPr="187C8765" w:rsidR="187C8765">
        <w:rPr>
          <w:rFonts w:cs="Calibri" w:cstheme="minorAscii"/>
          <w:sz w:val="22"/>
          <w:szCs w:val="22"/>
        </w:rPr>
        <w:t xml:space="preserve"> into LabVantage.</w:t>
      </w:r>
    </w:p>
    <w:p w:rsidR="187C8765" w:rsidP="187C8765" w:rsidRDefault="187C8765" w14:paraId="2FC78103" w14:textId="0660BEC6">
      <w:pPr>
        <w:pStyle w:val="ListParagraph"/>
        <w:numPr>
          <w:ilvl w:val="0"/>
          <w:numId w:val="3"/>
        </w:numPr>
        <w:rPr>
          <w:sz w:val="22"/>
          <w:szCs w:val="22"/>
        </w:rPr>
      </w:pPr>
      <w:r w:rsidRPr="187C8765" w:rsidR="187C8765">
        <w:rPr>
          <w:rFonts w:cs="Calibri" w:cstheme="minorAscii"/>
          <w:sz w:val="22"/>
          <w:szCs w:val="22"/>
          <w:u w:val="single"/>
        </w:rPr>
        <w:t>Accessioning E-swab fluid in LabVantage</w:t>
      </w:r>
    </w:p>
    <w:p w:rsidR="187C8765" w:rsidP="187C8765" w:rsidRDefault="187C8765" w14:paraId="75C292C7" w14:textId="69F4E67B">
      <w:pPr>
        <w:pStyle w:val="ListParagraph"/>
        <w:numPr>
          <w:ilvl w:val="1"/>
          <w:numId w:val="3"/>
        </w:numPr>
        <w:rPr>
          <w:sz w:val="22"/>
          <w:szCs w:val="22"/>
        </w:rPr>
      </w:pPr>
      <w:r w:rsidRPr="187C8765" w:rsidR="187C8765">
        <w:rPr>
          <w:rFonts w:cs="Calibri" w:cstheme="minorAscii"/>
          <w:sz w:val="24"/>
          <w:szCs w:val="24"/>
        </w:rPr>
        <w:t>After accessioning the Copan swab, you can accession the two 2mL tubes of E-swab fluid by first selecting the associated Copan swab and clicking “Create Children.”</w:t>
      </w:r>
    </w:p>
    <w:p w:rsidR="187C8765" w:rsidP="187C8765" w:rsidRDefault="187C8765" w14:paraId="053FB0CB" w14:textId="4EB90E8D">
      <w:pPr>
        <w:pStyle w:val="ListParagraph"/>
        <w:numPr>
          <w:ilvl w:val="1"/>
          <w:numId w:val="3"/>
        </w:numPr>
        <w:rPr>
          <w:sz w:val="22"/>
          <w:szCs w:val="22"/>
        </w:rPr>
      </w:pPr>
      <w:r w:rsidRPr="187C8765" w:rsidR="187C8765">
        <w:rPr>
          <w:rFonts w:cs="Calibri" w:cstheme="minorAscii"/>
          <w:sz w:val="24"/>
          <w:szCs w:val="24"/>
        </w:rPr>
        <w:t>On the resulting menu, select “Auto-confirm child samples” and de-select “Consume Parent Sample.” Select “ID_xSwab2Fluid” under Child Sample Plan. Under “# of Containers,” type 2.</w:t>
      </w:r>
    </w:p>
    <w:p w:rsidR="187C8765" w:rsidP="187C8765" w:rsidRDefault="187C8765" w14:paraId="19893802" w14:textId="1C5C9C64">
      <w:pPr>
        <w:pStyle w:val="ListParagraph"/>
        <w:numPr>
          <w:ilvl w:val="1"/>
          <w:numId w:val="3"/>
        </w:numPr>
        <w:rPr>
          <w:sz w:val="22"/>
          <w:szCs w:val="22"/>
        </w:rPr>
      </w:pPr>
      <w:r w:rsidRPr="187C8765" w:rsidR="187C8765">
        <w:rPr>
          <w:rFonts w:cs="Calibri" w:cstheme="minorAscii"/>
          <w:sz w:val="24"/>
          <w:szCs w:val="24"/>
        </w:rPr>
        <w:t>Click “OK.”</w:t>
      </w:r>
    </w:p>
    <w:p w:rsidR="187C8765" w:rsidP="187C8765" w:rsidRDefault="187C8765" w14:paraId="771ACD76" w14:textId="71EBC66A">
      <w:pPr>
        <w:pStyle w:val="ListParagraph"/>
        <w:numPr>
          <w:ilvl w:val="1"/>
          <w:numId w:val="3"/>
        </w:numPr>
        <w:rPr>
          <w:b w:val="1"/>
          <w:bCs w:val="1"/>
          <w:sz w:val="22"/>
          <w:szCs w:val="22"/>
        </w:rPr>
      </w:pPr>
      <w:r w:rsidRPr="187C8765" w:rsidR="187C8765">
        <w:rPr>
          <w:rFonts w:cs="Calibri" w:cstheme="minorAscii"/>
          <w:sz w:val="24"/>
          <w:szCs w:val="24"/>
        </w:rPr>
        <w:t xml:space="preserve">The child samples will have now been created, each with their own unique sample identifier. </w:t>
      </w:r>
      <w:r w:rsidRPr="187C8765" w:rsidR="187C8765">
        <w:rPr>
          <w:rFonts w:cs="Calibri" w:cstheme="minorAscii"/>
          <w:b w:val="1"/>
          <w:bCs w:val="1"/>
          <w:sz w:val="24"/>
          <w:szCs w:val="24"/>
        </w:rPr>
        <w:t>While these were created as child samples from the patient’s Copan swab, they were actually created from an E-swab collected from the same patient during the same visit.</w:t>
      </w:r>
    </w:p>
    <w:p xmlns:wp14="http://schemas.microsoft.com/office/word/2010/wordml" w:rsidR="00075F1F" w:rsidP="187C8765" w:rsidRDefault="00075F1F" w14:paraId="48BB6922" wp14:textId="77777777">
      <w:pPr>
        <w:pStyle w:val="ListParagraph"/>
        <w:numPr>
          <w:ilvl w:val="0"/>
          <w:numId w:val="3"/>
        </w:numPr>
        <w:rPr>
          <w:rFonts w:cs="Calibri" w:cstheme="minorAscii"/>
          <w:sz w:val="22"/>
          <w:szCs w:val="22"/>
          <w:u w:val="single"/>
        </w:rPr>
      </w:pPr>
      <w:r w:rsidRPr="187C8765" w:rsidR="187C8765">
        <w:rPr>
          <w:rFonts w:cs="Calibri" w:cstheme="minorAscii"/>
          <w:sz w:val="22"/>
          <w:szCs w:val="22"/>
          <w:u w:val="single"/>
        </w:rPr>
        <w:t>Printing Labels</w:t>
      </w:r>
    </w:p>
    <w:p xmlns:wp14="http://schemas.microsoft.com/office/word/2010/wordml" w:rsidRPr="0068580E" w:rsidR="0068580E" w:rsidP="187C8765" w:rsidRDefault="0068580E" w14:paraId="27AD14BA"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Once you have completed the steps above, you should end up back at the main LabVantage page. Under “Sample Management,” click the “Lab Operations Samples” option. </w:t>
      </w:r>
    </w:p>
    <w:p xmlns:wp14="http://schemas.microsoft.com/office/word/2010/wordml" w:rsidRPr="00075F1F" w:rsidR="00075F1F" w:rsidP="187C8765" w:rsidRDefault="00075F1F" w14:paraId="598A10FD"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Check the samples for which you intend to print labels. </w:t>
      </w:r>
    </w:p>
    <w:p xmlns:wp14="http://schemas.microsoft.com/office/word/2010/wordml" w:rsidRPr="00075F1F" w:rsidR="00075F1F" w:rsidP="187C8765" w:rsidRDefault="00075F1F" w14:paraId="11D1AC43" wp14:textId="5243398A">
      <w:pPr>
        <w:pStyle w:val="ListParagraph"/>
        <w:numPr>
          <w:ilvl w:val="1"/>
          <w:numId w:val="3"/>
        </w:numPr>
        <w:rPr>
          <w:rFonts w:cs="Calibri" w:cstheme="minorAscii"/>
          <w:sz w:val="22"/>
          <w:szCs w:val="22"/>
          <w:u w:val="single"/>
        </w:rPr>
      </w:pPr>
      <w:r w:rsidRPr="187C8765" w:rsidR="187C8765">
        <w:rPr>
          <w:rFonts w:cs="Calibri" w:cstheme="minorAscii"/>
          <w:sz w:val="22"/>
          <w:szCs w:val="22"/>
        </w:rPr>
        <w:t>Once they are selected, click the “Print Label” button. Select the “</w:t>
      </w:r>
      <w:proofErr w:type="spellStart"/>
      <w:r w:rsidRPr="187C8765" w:rsidR="187C8765">
        <w:rPr>
          <w:rFonts w:cs="Calibri" w:cstheme="minorAscii"/>
          <w:sz w:val="22"/>
          <w:szCs w:val="22"/>
        </w:rPr>
        <w:t>InfDisease_Sample</w:t>
      </w:r>
      <w:proofErr w:type="spellEnd"/>
      <w:r w:rsidRPr="187C8765" w:rsidR="187C8765">
        <w:rPr>
          <w:rFonts w:cs="Calibri" w:cstheme="minorAscii"/>
          <w:sz w:val="22"/>
          <w:szCs w:val="22"/>
        </w:rPr>
        <w:t xml:space="preserve">” label method and the printer of your choice. Click “OK” and your labels should print.  </w:t>
      </w:r>
      <w:r w:rsidRPr="187C8765" w:rsidR="187C8765">
        <w:rPr>
          <w:rFonts w:cs="Calibri" w:cstheme="minorAscii"/>
          <w:b w:val="1"/>
          <w:bCs w:val="1"/>
          <w:sz w:val="22"/>
          <w:szCs w:val="22"/>
        </w:rPr>
        <w:t>Note</w:t>
      </w:r>
      <w:r w:rsidRPr="187C8765" w:rsidR="187C8765">
        <w:rPr>
          <w:rFonts w:cs="Calibri" w:cstheme="minorAscii"/>
          <w:sz w:val="22"/>
          <w:szCs w:val="22"/>
        </w:rPr>
        <w:t>: The E-swab fluid samples labels will specify “fluid” as the sample type.</w:t>
      </w:r>
    </w:p>
    <w:p xmlns:wp14="http://schemas.microsoft.com/office/word/2010/wordml" w:rsidR="001A27FB" w:rsidP="187C8765" w:rsidRDefault="001A27FB" w14:paraId="7725010C" wp14:textId="77777777">
      <w:pPr>
        <w:pStyle w:val="ListParagraph"/>
        <w:numPr>
          <w:ilvl w:val="0"/>
          <w:numId w:val="3"/>
        </w:numPr>
        <w:rPr>
          <w:rFonts w:cs="Calibri" w:cstheme="minorAscii"/>
          <w:sz w:val="22"/>
          <w:szCs w:val="22"/>
          <w:u w:val="single"/>
        </w:rPr>
      </w:pPr>
      <w:r w:rsidRPr="187C8765" w:rsidR="187C8765">
        <w:rPr>
          <w:rFonts w:cs="Calibri" w:cstheme="minorAscii"/>
          <w:sz w:val="22"/>
          <w:szCs w:val="22"/>
          <w:u w:val="single"/>
        </w:rPr>
        <w:t>Filing Swabs into Location</w:t>
      </w:r>
    </w:p>
    <w:p xmlns:wp14="http://schemas.microsoft.com/office/word/2010/wordml" w:rsidRPr="0068580E" w:rsidR="0068580E" w:rsidP="187C8765" w:rsidRDefault="0068580E" w14:paraId="2D1D6492"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Return to the “Lab Operation Samples” page.</w:t>
      </w:r>
    </w:p>
    <w:p xmlns:wp14="http://schemas.microsoft.com/office/word/2010/wordml" w:rsidRPr="002F0E38" w:rsidR="002F0E38" w:rsidP="187C8765" w:rsidRDefault="002F0E38" w14:paraId="2688C828"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There exists multiple ways to locate your samples. </w:t>
      </w:r>
    </w:p>
    <w:p xmlns:wp14="http://schemas.microsoft.com/office/word/2010/wordml" w:rsidRPr="002F0E38" w:rsidR="002F0E38" w:rsidP="187C8765" w:rsidRDefault="002F0E38" w14:paraId="0ECCD25C" wp14:textId="77777777">
      <w:pPr>
        <w:pStyle w:val="ListParagraph"/>
        <w:numPr>
          <w:ilvl w:val="2"/>
          <w:numId w:val="3"/>
        </w:numPr>
        <w:rPr>
          <w:rFonts w:cs="Calibri" w:cstheme="minorAscii"/>
          <w:sz w:val="22"/>
          <w:szCs w:val="22"/>
          <w:u w:val="single"/>
        </w:rPr>
      </w:pPr>
      <w:r w:rsidRPr="187C8765" w:rsidR="187C8765">
        <w:rPr>
          <w:rFonts w:cs="Calibri" w:cstheme="minorAscii"/>
          <w:sz w:val="22"/>
          <w:szCs w:val="22"/>
        </w:rPr>
        <w:t xml:space="preserve">If you had accessioned your samples today, you can pull down the search bar drop down menu and choose “Created Today.” This will populate all the samples that </w:t>
      </w:r>
      <w:proofErr w:type="gramStart"/>
      <w:r w:rsidRPr="187C8765" w:rsidR="187C8765">
        <w:rPr>
          <w:rFonts w:cs="Calibri" w:cstheme="minorAscii"/>
          <w:sz w:val="22"/>
          <w:szCs w:val="22"/>
        </w:rPr>
        <w:t>were accessioned</w:t>
      </w:r>
      <w:proofErr w:type="gramEnd"/>
      <w:r w:rsidRPr="187C8765" w:rsidR="187C8765">
        <w:rPr>
          <w:rFonts w:cs="Calibri" w:cstheme="minorAscii"/>
          <w:sz w:val="22"/>
          <w:szCs w:val="22"/>
        </w:rPr>
        <w:t xml:space="preserve"> within our lab today. </w:t>
      </w:r>
    </w:p>
    <w:p xmlns:wp14="http://schemas.microsoft.com/office/word/2010/wordml" w:rsidRPr="002F0E38" w:rsidR="002F0E38" w:rsidP="187C8765" w:rsidRDefault="002F0E38" w14:paraId="146CB510" wp14:textId="77777777">
      <w:pPr>
        <w:pStyle w:val="ListParagraph"/>
        <w:numPr>
          <w:ilvl w:val="2"/>
          <w:numId w:val="3"/>
        </w:numPr>
        <w:rPr>
          <w:rFonts w:cs="Calibri" w:cstheme="minorAscii"/>
          <w:sz w:val="22"/>
          <w:szCs w:val="22"/>
          <w:u w:val="single"/>
        </w:rPr>
      </w:pPr>
      <w:r w:rsidRPr="187C8765" w:rsidR="187C8765">
        <w:rPr>
          <w:rFonts w:cs="Calibri" w:cstheme="minorAscii"/>
          <w:sz w:val="22"/>
          <w:szCs w:val="22"/>
        </w:rPr>
        <w:t xml:space="preserve">You can choose “By Study,” to populate all samples owned under </w:t>
      </w:r>
      <w:proofErr w:type="spellStart"/>
      <w:r w:rsidRPr="187C8765" w:rsidR="187C8765">
        <w:rPr>
          <w:rFonts w:cs="Calibri" w:cstheme="minorAscii"/>
          <w:sz w:val="22"/>
          <w:szCs w:val="22"/>
        </w:rPr>
        <w:t>SToP</w:t>
      </w:r>
      <w:proofErr w:type="spellEnd"/>
      <w:r w:rsidRPr="187C8765" w:rsidR="187C8765">
        <w:rPr>
          <w:rFonts w:cs="Calibri" w:cstheme="minorAscii"/>
          <w:sz w:val="22"/>
          <w:szCs w:val="22"/>
        </w:rPr>
        <w:t>-CDI.</w:t>
      </w:r>
    </w:p>
    <w:p xmlns:wp14="http://schemas.microsoft.com/office/word/2010/wordml" w:rsidRPr="00AF54B2" w:rsidR="002F0E38" w:rsidP="187C8765" w:rsidRDefault="002F0E38" w14:paraId="4303656B" wp14:textId="77777777">
      <w:pPr>
        <w:pStyle w:val="ListParagraph"/>
        <w:numPr>
          <w:ilvl w:val="2"/>
          <w:numId w:val="3"/>
        </w:numPr>
        <w:rPr>
          <w:rFonts w:cs="Calibri" w:cstheme="minorAscii"/>
          <w:sz w:val="22"/>
          <w:szCs w:val="22"/>
          <w:u w:val="single"/>
        </w:rPr>
      </w:pPr>
      <w:r w:rsidRPr="187C8765" w:rsidR="187C8765">
        <w:rPr>
          <w:rFonts w:cs="Calibri" w:cstheme="minorAscii"/>
          <w:sz w:val="22"/>
          <w:szCs w:val="22"/>
        </w:rPr>
        <w:t xml:space="preserve">You can also choose “By Participant ID” if you want to search by the Subject ID. </w:t>
      </w:r>
    </w:p>
    <w:p xmlns:wp14="http://schemas.microsoft.com/office/word/2010/wordml" w:rsidRPr="00AF54B2" w:rsidR="00AF54B2" w:rsidP="187C8765" w:rsidRDefault="00AF54B2" w14:paraId="6A2949F0"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Once </w:t>
      </w:r>
      <w:proofErr w:type="gramStart"/>
      <w:r w:rsidRPr="187C8765" w:rsidR="187C8765">
        <w:rPr>
          <w:rFonts w:cs="Calibri" w:cstheme="minorAscii"/>
          <w:sz w:val="22"/>
          <w:szCs w:val="22"/>
        </w:rPr>
        <w:t>you’ve</w:t>
      </w:r>
      <w:proofErr w:type="gramEnd"/>
      <w:r w:rsidRPr="187C8765" w:rsidR="187C8765">
        <w:rPr>
          <w:rFonts w:cs="Calibri" w:cstheme="minorAscii"/>
          <w:sz w:val="22"/>
          <w:szCs w:val="22"/>
        </w:rPr>
        <w:t xml:space="preserve"> located your samples(s), check all that you intend to file (note: the order you check them off in matters and will be the order they are automatically filed into the box). </w:t>
      </w:r>
    </w:p>
    <w:p xmlns:wp14="http://schemas.microsoft.com/office/word/2010/wordml" w:rsidRPr="00AF54B2" w:rsidR="00AF54B2" w:rsidP="187C8765" w:rsidRDefault="00AF54B2" w14:paraId="1717AE75"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Click “Check In” on the button bar.</w:t>
      </w:r>
    </w:p>
    <w:p xmlns:wp14="http://schemas.microsoft.com/office/word/2010/wordml" w:rsidRPr="00AF54B2" w:rsidR="00AF54B2" w:rsidP="187C8765" w:rsidRDefault="00AF54B2" w14:paraId="35B3AFFF"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Select the samples by checking the box that applies to those you wish to file on the resulting screen. To the right, under the “Storage Unit” banner, click the magnifying glass option.</w:t>
      </w:r>
    </w:p>
    <w:p xmlns:wp14="http://schemas.microsoft.com/office/word/2010/wordml" w:rsidRPr="00075F1F" w:rsidR="00075F1F" w:rsidP="187C8765" w:rsidRDefault="00AF54B2" w14:paraId="5E078883"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On the resulting pop-up, click “Sorted Box.”</w:t>
      </w:r>
    </w:p>
    <w:p xmlns:wp14="http://schemas.microsoft.com/office/word/2010/wordml" w:rsidRPr="00F20891" w:rsidR="00AF54B2" w:rsidP="187C8765" w:rsidRDefault="00F20891" w14:paraId="08118007"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Your box options will populate on the screen. </w:t>
      </w:r>
      <w:r w:rsidRPr="187C8765" w:rsidR="187C8765">
        <w:rPr>
          <w:rFonts w:cs="Calibri" w:cstheme="minorAscii"/>
          <w:sz w:val="22"/>
          <w:szCs w:val="22"/>
        </w:rPr>
        <w:t>You may have to search for the boxes by pulling down the drop down menu and selecting “</w:t>
      </w:r>
      <w:proofErr w:type="spellStart"/>
      <w:r w:rsidRPr="187C8765" w:rsidR="187C8765">
        <w:rPr>
          <w:rFonts w:cs="Calibri" w:cstheme="minorAscii"/>
          <w:sz w:val="22"/>
          <w:szCs w:val="22"/>
        </w:rPr>
        <w:t>BoxByStudyCode</w:t>
      </w:r>
      <w:proofErr w:type="spellEnd"/>
      <w:r w:rsidRPr="187C8765" w:rsidR="187C8765">
        <w:rPr>
          <w:rFonts w:cs="Calibri" w:cstheme="minorAscii"/>
          <w:sz w:val="22"/>
          <w:szCs w:val="22"/>
        </w:rPr>
        <w:t xml:space="preserve">” and then specifying </w:t>
      </w:r>
      <w:proofErr w:type="spellStart"/>
      <w:r w:rsidRPr="187C8765" w:rsidR="187C8765">
        <w:rPr>
          <w:rFonts w:cs="Calibri" w:cstheme="minorAscii"/>
          <w:sz w:val="22"/>
          <w:szCs w:val="22"/>
        </w:rPr>
        <w:t>SToP</w:t>
      </w:r>
      <w:proofErr w:type="spellEnd"/>
      <w:r w:rsidRPr="187C8765" w:rsidR="187C8765">
        <w:rPr>
          <w:rFonts w:cs="Calibri" w:cstheme="minorAscii"/>
          <w:sz w:val="22"/>
          <w:szCs w:val="22"/>
        </w:rPr>
        <w:t xml:space="preserve">-CDI. </w:t>
      </w:r>
      <w:r w:rsidRPr="187C8765" w:rsidR="187C8765">
        <w:rPr>
          <w:rFonts w:cs="Calibri" w:cstheme="minorAscii"/>
          <w:sz w:val="22"/>
          <w:szCs w:val="22"/>
        </w:rPr>
        <w:t>Check the desired box and click “Select &amp; Return.”</w:t>
      </w:r>
    </w:p>
    <w:p xmlns:wp14="http://schemas.microsoft.com/office/word/2010/wordml" w:rsidRPr="002B7D3F" w:rsidR="00F20891" w:rsidP="187C8765" w:rsidRDefault="00F20891" w14:paraId="49E0BC85" wp14:textId="77777777">
      <w:pPr>
        <w:pStyle w:val="ListParagraph"/>
        <w:numPr>
          <w:ilvl w:val="1"/>
          <w:numId w:val="3"/>
        </w:numPr>
        <w:rPr>
          <w:rFonts w:cs="Calibri" w:cstheme="minorAscii"/>
          <w:sz w:val="22"/>
          <w:szCs w:val="22"/>
          <w:u w:val="single"/>
        </w:rPr>
      </w:pPr>
      <w:r w:rsidRPr="187C8765" w:rsidR="187C8765">
        <w:rPr>
          <w:rFonts w:cs="Calibri" w:cstheme="minorAscii"/>
          <w:sz w:val="22"/>
          <w:szCs w:val="22"/>
        </w:rPr>
        <w:t xml:space="preserve">You should now see a schematic of the box chosen to the right. It will highlight spaces in the box that </w:t>
      </w:r>
      <w:proofErr w:type="gramStart"/>
      <w:r w:rsidRPr="187C8765" w:rsidR="187C8765">
        <w:rPr>
          <w:rFonts w:cs="Calibri" w:cstheme="minorAscii"/>
          <w:sz w:val="22"/>
          <w:szCs w:val="22"/>
        </w:rPr>
        <w:t>are already filled</w:t>
      </w:r>
      <w:proofErr w:type="gramEnd"/>
      <w:r w:rsidRPr="187C8765" w:rsidR="187C8765">
        <w:rPr>
          <w:rFonts w:cs="Calibri" w:cstheme="minorAscii"/>
          <w:sz w:val="22"/>
          <w:szCs w:val="22"/>
        </w:rPr>
        <w:t xml:space="preserve">. </w:t>
      </w:r>
      <w:r w:rsidRPr="187C8765" w:rsidR="187C8765">
        <w:rPr>
          <w:rFonts w:cs="Calibri" w:cstheme="minorAscii"/>
          <w:sz w:val="22"/>
          <w:szCs w:val="22"/>
        </w:rPr>
        <w:t xml:space="preserve">You can click the “Auto File” button and it will automatically file them in the order they </w:t>
      </w:r>
      <w:proofErr w:type="gramStart"/>
      <w:r w:rsidRPr="187C8765" w:rsidR="187C8765">
        <w:rPr>
          <w:rFonts w:cs="Calibri" w:cstheme="minorAscii"/>
          <w:sz w:val="22"/>
          <w:szCs w:val="22"/>
        </w:rPr>
        <w:t>were selected</w:t>
      </w:r>
      <w:proofErr w:type="gramEnd"/>
      <w:r w:rsidRPr="187C8765" w:rsidR="187C8765">
        <w:rPr>
          <w:rFonts w:cs="Calibri" w:cstheme="minorAscii"/>
          <w:sz w:val="22"/>
          <w:szCs w:val="22"/>
        </w:rPr>
        <w:t xml:space="preserve"> into the box.</w:t>
      </w:r>
    </w:p>
    <w:p xmlns:wp14="http://schemas.microsoft.com/office/word/2010/wordml" w:rsidRPr="00075F1F" w:rsidR="002B7D3F" w:rsidP="187C8765" w:rsidRDefault="002B7D3F" w14:paraId="75BBC8A0" wp14:textId="77777777" wp14:noSpellErr="1">
      <w:pPr>
        <w:pStyle w:val="ListParagraph"/>
        <w:numPr>
          <w:ilvl w:val="1"/>
          <w:numId w:val="3"/>
        </w:numPr>
        <w:rPr>
          <w:rFonts w:cs="Calibri" w:cstheme="minorAscii"/>
          <w:sz w:val="22"/>
          <w:szCs w:val="22"/>
          <w:u w:val="single"/>
        </w:rPr>
      </w:pPr>
      <w:r w:rsidRPr="187C8765" w:rsidR="187C8765">
        <w:rPr>
          <w:rFonts w:cs="Calibri" w:cstheme="minorAscii"/>
          <w:sz w:val="22"/>
          <w:szCs w:val="22"/>
        </w:rPr>
        <w:t>File the swabs into the box in the orde</w:t>
      </w:r>
      <w:r w:rsidRPr="187C8765" w:rsidR="187C8765">
        <w:rPr>
          <w:rFonts w:cs="Calibri" w:cstheme="minorAscii"/>
          <w:sz w:val="22"/>
          <w:szCs w:val="22"/>
        </w:rPr>
        <w:t xml:space="preserve">r they </w:t>
      </w:r>
      <w:r w:rsidRPr="187C8765" w:rsidR="187C8765">
        <w:rPr>
          <w:rFonts w:cs="Calibri" w:cstheme="minorAscii"/>
          <w:sz w:val="22"/>
          <w:szCs w:val="22"/>
        </w:rPr>
        <w:t>were filed</w:t>
      </w:r>
      <w:r w:rsidRPr="187C8765" w:rsidR="187C8765">
        <w:rPr>
          <w:rFonts w:cs="Calibri" w:cstheme="minorAscii"/>
          <w:sz w:val="22"/>
          <w:szCs w:val="22"/>
        </w:rPr>
        <w:t xml:space="preserve"> in LabVantage and store appropriately in the -80°C freezer.</w:t>
      </w:r>
    </w:p>
    <w:p w:rsidR="187C8765" w:rsidP="187C8765" w:rsidRDefault="187C8765" w14:paraId="5B07345A" w14:textId="70B56041">
      <w:pPr>
        <w:pStyle w:val="ListParagraph"/>
        <w:numPr>
          <w:ilvl w:val="1"/>
          <w:numId w:val="3"/>
        </w:numPr>
        <w:rPr>
          <w:sz w:val="22"/>
          <w:szCs w:val="22"/>
        </w:rPr>
      </w:pPr>
      <w:r w:rsidRPr="187C8765" w:rsidR="187C8765">
        <w:rPr>
          <w:rFonts w:cs="Calibri" w:cstheme="minorAscii"/>
          <w:b w:val="1"/>
          <w:bCs w:val="1"/>
          <w:sz w:val="22"/>
          <w:szCs w:val="22"/>
        </w:rPr>
        <w:t>Note</w:t>
      </w:r>
      <w:r w:rsidRPr="187C8765" w:rsidR="187C8765">
        <w:rPr>
          <w:rFonts w:cs="Calibri" w:cstheme="minorAscii"/>
          <w:sz w:val="22"/>
          <w:szCs w:val="22"/>
        </w:rPr>
        <w:t xml:space="preserve">: each sample type has </w:t>
      </w:r>
      <w:proofErr w:type="gramStart"/>
      <w:r w:rsidRPr="187C8765" w:rsidR="187C8765">
        <w:rPr>
          <w:rFonts w:cs="Calibri" w:cstheme="minorAscii"/>
          <w:sz w:val="22"/>
          <w:szCs w:val="22"/>
        </w:rPr>
        <w:t>it’s</w:t>
      </w:r>
      <w:proofErr w:type="gramEnd"/>
      <w:r w:rsidRPr="187C8765" w:rsidR="187C8765">
        <w:rPr>
          <w:rFonts w:cs="Calibri" w:cstheme="minorAscii"/>
          <w:sz w:val="22"/>
          <w:szCs w:val="22"/>
        </w:rPr>
        <w:t xml:space="preserve"> own boxes in LabVantage. The box names will specify for which sample type they are for.</w:t>
      </w:r>
    </w:p>
    <w:p xmlns:wp14="http://schemas.microsoft.com/office/word/2010/wordml" w:rsidR="005C0B4C" w:rsidRDefault="005C0B4C" w14:paraId="41C8F396" wp14:textId="77777777"/>
    <w:sectPr w:rsidR="005C0B4C" w:rsidSect="001712EB">
      <w:type w:val="continuous"/>
      <w:pgSz w:w="12240" w:h="15840" w:orient="portrait"/>
      <w:pgMar w:top="720" w:right="720" w:bottom="720" w:left="720" w:header="720" w:footer="720" w:gutter="0"/>
      <w:cols w:space="720"/>
      <w:docGrid w:linePitch="360"/>
      <w:footerReference w:type="default" r:id="R7e0a2f399bab467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A27FB" w:rsidP="001A27FB" w:rsidRDefault="001A27FB" w14:paraId="0D0B940D" wp14:textId="77777777">
      <w:r>
        <w:separator/>
      </w:r>
    </w:p>
  </w:endnote>
  <w:endnote w:type="continuationSeparator" w:id="0">
    <w:p xmlns:wp14="http://schemas.microsoft.com/office/word/2010/wordml" w:rsidR="001A27FB" w:rsidP="001A27FB" w:rsidRDefault="001A27FB" w14:paraId="0E27B0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87C8765" w:rsidTr="187C8765" w14:paraId="56D901D0">
      <w:tc>
        <w:tcPr>
          <w:tcW w:w="3600" w:type="dxa"/>
          <w:tcMar/>
        </w:tcPr>
        <w:p w:rsidR="187C8765" w:rsidP="187C8765" w:rsidRDefault="187C8765" w14:paraId="031F32A5" w14:textId="6881E37A">
          <w:pPr>
            <w:pStyle w:val="Header"/>
            <w:bidi w:val="0"/>
            <w:ind w:left="-115"/>
            <w:jc w:val="left"/>
            <w:rPr>
              <w:sz w:val="24"/>
              <w:szCs w:val="24"/>
            </w:rPr>
          </w:pPr>
        </w:p>
      </w:tc>
      <w:tc>
        <w:tcPr>
          <w:tcW w:w="3600" w:type="dxa"/>
          <w:tcMar/>
        </w:tcPr>
        <w:p w:rsidR="187C8765" w:rsidP="187C8765" w:rsidRDefault="187C8765" w14:paraId="03174823" w14:textId="06D29EFF">
          <w:pPr>
            <w:pStyle w:val="Header"/>
            <w:bidi w:val="0"/>
            <w:jc w:val="center"/>
            <w:rPr>
              <w:sz w:val="24"/>
              <w:szCs w:val="24"/>
            </w:rPr>
          </w:pPr>
        </w:p>
      </w:tc>
      <w:tc>
        <w:tcPr>
          <w:tcW w:w="3600" w:type="dxa"/>
          <w:tcMar/>
        </w:tcPr>
        <w:p w:rsidR="187C8765" w:rsidP="187C8765" w:rsidRDefault="187C8765" w14:paraId="73651639" w14:textId="2C35B27E">
          <w:pPr>
            <w:pStyle w:val="Header"/>
            <w:bidi w:val="0"/>
            <w:ind w:right="-115"/>
            <w:jc w:val="right"/>
            <w:rPr>
              <w:sz w:val="24"/>
              <w:szCs w:val="24"/>
            </w:rPr>
          </w:pPr>
        </w:p>
      </w:tc>
    </w:tr>
  </w:tbl>
  <w:p w:rsidR="187C8765" w:rsidP="187C8765" w:rsidRDefault="187C8765" w14:paraId="3909FC63" w14:textId="2CDCD164">
    <w:pPr>
      <w:pStyle w:val="Footer"/>
      <w:bidi w:val="0"/>
      <w:rPr>
        <w:sz w:val="24"/>
        <w:szCs w:val="24"/>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87C8765" w:rsidTr="187C8765" w14:paraId="00EA2626">
      <w:tc>
        <w:tcPr>
          <w:tcW w:w="3600" w:type="dxa"/>
          <w:tcMar/>
        </w:tcPr>
        <w:p w:rsidR="187C8765" w:rsidP="187C8765" w:rsidRDefault="187C8765" w14:paraId="4266D5F9" w14:textId="6FFF785B">
          <w:pPr>
            <w:pStyle w:val="Header"/>
            <w:bidi w:val="0"/>
            <w:ind w:left="-115"/>
            <w:jc w:val="left"/>
            <w:rPr>
              <w:sz w:val="24"/>
              <w:szCs w:val="24"/>
            </w:rPr>
          </w:pPr>
        </w:p>
      </w:tc>
      <w:tc>
        <w:tcPr>
          <w:tcW w:w="3600" w:type="dxa"/>
          <w:tcMar/>
        </w:tcPr>
        <w:p w:rsidR="187C8765" w:rsidP="187C8765" w:rsidRDefault="187C8765" w14:paraId="6AAD5937" w14:textId="3C3BDF90">
          <w:pPr>
            <w:pStyle w:val="Header"/>
            <w:bidi w:val="0"/>
            <w:jc w:val="center"/>
            <w:rPr>
              <w:sz w:val="24"/>
              <w:szCs w:val="24"/>
            </w:rPr>
          </w:pPr>
        </w:p>
      </w:tc>
      <w:tc>
        <w:tcPr>
          <w:tcW w:w="3600" w:type="dxa"/>
          <w:tcMar/>
        </w:tcPr>
        <w:p w:rsidR="187C8765" w:rsidP="187C8765" w:rsidRDefault="187C8765" w14:paraId="4DDE95D6" w14:textId="113FB990">
          <w:pPr>
            <w:pStyle w:val="Header"/>
            <w:bidi w:val="0"/>
            <w:ind w:right="-115"/>
            <w:jc w:val="right"/>
            <w:rPr>
              <w:sz w:val="24"/>
              <w:szCs w:val="24"/>
            </w:rPr>
          </w:pPr>
        </w:p>
      </w:tc>
    </w:tr>
  </w:tbl>
  <w:p w:rsidR="187C8765" w:rsidP="187C8765" w:rsidRDefault="187C8765" w14:paraId="1FCFC5F2" w14:textId="4C974A49">
    <w:pPr>
      <w:pStyle w:val="Footer"/>
      <w:bidi w:val="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A27FB" w:rsidP="001A27FB" w:rsidRDefault="001A27FB" w14:paraId="60061E4C" wp14:textId="77777777">
      <w:r>
        <w:separator/>
      </w:r>
    </w:p>
  </w:footnote>
  <w:footnote w:type="continuationSeparator" w:id="0">
    <w:p xmlns:wp14="http://schemas.microsoft.com/office/word/2010/wordml" w:rsidR="001A27FB" w:rsidP="001A27FB" w:rsidRDefault="001A27FB" w14:paraId="44EAFD9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A017F" w:rsidP="00DA017F" w:rsidRDefault="001A27FB" w14:paraId="10628C36" wp14:textId="330A64B8">
    <w:pPr>
      <w:pStyle w:val="Header"/>
      <w:jc w:val="right"/>
    </w:pPr>
    <w:r w:rsidR="187C8765">
      <w:rPr/>
      <w:t>Laura Cowden, last updated 8/30/2022</w:t>
    </w:r>
  </w:p>
  <w:p xmlns:wp14="http://schemas.microsoft.com/office/word/2010/wordml" w:rsidR="000614CF" w:rsidRDefault="009675E2" w14:paraId="72A3D3EC" wp14:textId="77777777">
    <w:pPr>
      <w:pStyle w:val="Header"/>
    </w:pPr>
  </w:p>
</w:hdr>
</file>

<file path=word/intelligence2.xml><?xml version="1.0" encoding="utf-8"?>
<int2:intelligence xmlns:int2="http://schemas.microsoft.com/office/intelligence/2020/intelligence">
  <int2:observations>
    <int2:textHash int2:hashCode="G0gBWOHzDgts7n" int2:id="RcztGFnt">
      <int2:state int2:type="LegacyProofing" int2:value="Rejected"/>
    </int2:textHash>
    <int2:textHash int2:hashCode="YVgJeLx7hO8ky8" int2:id="K67ZH17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621"/>
    <w:multiLevelType w:val="hybridMultilevel"/>
    <w:tmpl w:val="2F52E5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264D6B"/>
    <w:multiLevelType w:val="hybridMultilevel"/>
    <w:tmpl w:val="9312AF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45C52"/>
    <w:multiLevelType w:val="hybridMultilevel"/>
    <w:tmpl w:val="19B6AF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C37476"/>
    <w:multiLevelType w:val="hybridMultilevel"/>
    <w:tmpl w:val="BBA8B5EC"/>
    <w:lvl w:ilvl="0" w:tplc="2A3A5516">
      <w:numFmt w:val="bullet"/>
      <w:lvlText w:val="-"/>
      <w:lvlJc w:val="left"/>
      <w:pPr>
        <w:ind w:left="410" w:hanging="360"/>
      </w:pPr>
      <w:rPr>
        <w:rFonts w:hint="default" w:ascii="Calibri" w:hAnsi="Calibri" w:cs="Calibri" w:eastAsiaTheme="minorHAnsi"/>
      </w:rPr>
    </w:lvl>
    <w:lvl w:ilvl="1" w:tplc="04090003">
      <w:start w:val="1"/>
      <w:numFmt w:val="bullet"/>
      <w:lvlText w:val="o"/>
      <w:lvlJc w:val="left"/>
      <w:pPr>
        <w:ind w:left="1130" w:hanging="360"/>
      </w:pPr>
      <w:rPr>
        <w:rFonts w:hint="default" w:ascii="Courier New" w:hAnsi="Courier New" w:cs="Courier New"/>
      </w:rPr>
    </w:lvl>
    <w:lvl w:ilvl="2" w:tplc="04090005" w:tentative="1">
      <w:start w:val="1"/>
      <w:numFmt w:val="bullet"/>
      <w:lvlText w:val=""/>
      <w:lvlJc w:val="left"/>
      <w:pPr>
        <w:ind w:left="1850" w:hanging="360"/>
      </w:pPr>
      <w:rPr>
        <w:rFonts w:hint="default" w:ascii="Wingdings" w:hAnsi="Wingdings"/>
      </w:rPr>
    </w:lvl>
    <w:lvl w:ilvl="3" w:tplc="04090001" w:tentative="1">
      <w:start w:val="1"/>
      <w:numFmt w:val="bullet"/>
      <w:lvlText w:val=""/>
      <w:lvlJc w:val="left"/>
      <w:pPr>
        <w:ind w:left="2570" w:hanging="360"/>
      </w:pPr>
      <w:rPr>
        <w:rFonts w:hint="default" w:ascii="Symbol" w:hAnsi="Symbol"/>
      </w:rPr>
    </w:lvl>
    <w:lvl w:ilvl="4" w:tplc="04090003" w:tentative="1">
      <w:start w:val="1"/>
      <w:numFmt w:val="bullet"/>
      <w:lvlText w:val="o"/>
      <w:lvlJc w:val="left"/>
      <w:pPr>
        <w:ind w:left="3290" w:hanging="360"/>
      </w:pPr>
      <w:rPr>
        <w:rFonts w:hint="default" w:ascii="Courier New" w:hAnsi="Courier New" w:cs="Courier New"/>
      </w:rPr>
    </w:lvl>
    <w:lvl w:ilvl="5" w:tplc="04090005" w:tentative="1">
      <w:start w:val="1"/>
      <w:numFmt w:val="bullet"/>
      <w:lvlText w:val=""/>
      <w:lvlJc w:val="left"/>
      <w:pPr>
        <w:ind w:left="4010" w:hanging="360"/>
      </w:pPr>
      <w:rPr>
        <w:rFonts w:hint="default" w:ascii="Wingdings" w:hAnsi="Wingdings"/>
      </w:rPr>
    </w:lvl>
    <w:lvl w:ilvl="6" w:tplc="04090001" w:tentative="1">
      <w:start w:val="1"/>
      <w:numFmt w:val="bullet"/>
      <w:lvlText w:val=""/>
      <w:lvlJc w:val="left"/>
      <w:pPr>
        <w:ind w:left="4730" w:hanging="360"/>
      </w:pPr>
      <w:rPr>
        <w:rFonts w:hint="default" w:ascii="Symbol" w:hAnsi="Symbol"/>
      </w:rPr>
    </w:lvl>
    <w:lvl w:ilvl="7" w:tplc="04090003" w:tentative="1">
      <w:start w:val="1"/>
      <w:numFmt w:val="bullet"/>
      <w:lvlText w:val="o"/>
      <w:lvlJc w:val="left"/>
      <w:pPr>
        <w:ind w:left="5450" w:hanging="360"/>
      </w:pPr>
      <w:rPr>
        <w:rFonts w:hint="default" w:ascii="Courier New" w:hAnsi="Courier New" w:cs="Courier New"/>
      </w:rPr>
    </w:lvl>
    <w:lvl w:ilvl="8" w:tplc="04090005" w:tentative="1">
      <w:start w:val="1"/>
      <w:numFmt w:val="bullet"/>
      <w:lvlText w:val=""/>
      <w:lvlJc w:val="left"/>
      <w:pPr>
        <w:ind w:left="617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FB"/>
    <w:rsid w:val="00075F1F"/>
    <w:rsid w:val="001019C3"/>
    <w:rsid w:val="001314C4"/>
    <w:rsid w:val="001A27FB"/>
    <w:rsid w:val="002B7D3F"/>
    <w:rsid w:val="002F0E38"/>
    <w:rsid w:val="003351AE"/>
    <w:rsid w:val="0046100A"/>
    <w:rsid w:val="005C0B4C"/>
    <w:rsid w:val="0068580E"/>
    <w:rsid w:val="009675E2"/>
    <w:rsid w:val="00A85223"/>
    <w:rsid w:val="00AF54B2"/>
    <w:rsid w:val="00D563F9"/>
    <w:rsid w:val="00DB7A63"/>
    <w:rsid w:val="00DE7DA9"/>
    <w:rsid w:val="00F20891"/>
    <w:rsid w:val="187C8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2C07"/>
  <w15:chartTrackingRefBased/>
  <w15:docId w15:val="{C6086628-7D8D-4E45-A038-514A123195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27FB"/>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A27FB"/>
    <w:pPr>
      <w:ind w:left="720"/>
      <w:contextualSpacing/>
    </w:pPr>
  </w:style>
  <w:style w:type="paragraph" w:styleId="Header">
    <w:name w:val="header"/>
    <w:basedOn w:val="Normal"/>
    <w:link w:val="HeaderChar"/>
    <w:uiPriority w:val="99"/>
    <w:unhideWhenUsed/>
    <w:rsid w:val="001A27FB"/>
    <w:pPr>
      <w:tabs>
        <w:tab w:val="center" w:pos="4680"/>
        <w:tab w:val="right" w:pos="9360"/>
      </w:tabs>
    </w:pPr>
  </w:style>
  <w:style w:type="character" w:styleId="HeaderChar" w:customStyle="1">
    <w:name w:val="Header Char"/>
    <w:basedOn w:val="DefaultParagraphFont"/>
    <w:link w:val="Header"/>
    <w:uiPriority w:val="99"/>
    <w:rsid w:val="001A27FB"/>
    <w:rPr>
      <w:sz w:val="24"/>
      <w:szCs w:val="24"/>
    </w:rPr>
  </w:style>
  <w:style w:type="paragraph" w:styleId="NoSpacing">
    <w:name w:val="No Spacing"/>
    <w:uiPriority w:val="1"/>
    <w:qFormat/>
    <w:rsid w:val="001A27FB"/>
    <w:pPr>
      <w:spacing w:after="0" w:line="240" w:lineRule="auto"/>
    </w:pPr>
  </w:style>
  <w:style w:type="paragraph" w:styleId="Footer">
    <w:name w:val="footer"/>
    <w:basedOn w:val="Normal"/>
    <w:link w:val="FooterChar"/>
    <w:uiPriority w:val="99"/>
    <w:unhideWhenUsed/>
    <w:rsid w:val="001A27FB"/>
    <w:pPr>
      <w:tabs>
        <w:tab w:val="center" w:pos="4680"/>
        <w:tab w:val="right" w:pos="9360"/>
      </w:tabs>
    </w:pPr>
  </w:style>
  <w:style w:type="character" w:styleId="FooterChar" w:customStyle="1">
    <w:name w:val="Footer Char"/>
    <w:basedOn w:val="DefaultParagraphFont"/>
    <w:link w:val="Footer"/>
    <w:uiPriority w:val="99"/>
    <w:rsid w:val="001A27FB"/>
    <w:rPr>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1fc0655bcb274130" /><Relationship Type="http://schemas.openxmlformats.org/officeDocument/2006/relationships/footer" Target="footer2.xml" Id="R7e0a2f399bab4671" /><Relationship Type="http://schemas.microsoft.com/office/2020/10/relationships/intelligence" Target="intelligence2.xml" Id="R1c662d84857948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PMACS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LAURA COWDEN</lastModifiedBy>
  <revision>9</revision>
  <dcterms:created xsi:type="dcterms:W3CDTF">2021-06-16T17:05:00.0000000Z</dcterms:created>
  <dcterms:modified xsi:type="dcterms:W3CDTF">2022-08-30T13:14:27.2971430Z</dcterms:modified>
</coreProperties>
</file>