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72AD6" w14:textId="4BF51794" w:rsidR="005C0B4C" w:rsidRPr="008641DA" w:rsidRDefault="00517771">
      <w:pPr>
        <w:rPr>
          <w:b/>
          <w:smallCaps/>
          <w:sz w:val="32"/>
          <w:szCs w:val="24"/>
        </w:rPr>
      </w:pPr>
      <w:r w:rsidRPr="008641DA">
        <w:rPr>
          <w:b/>
          <w:smallCaps/>
          <w:sz w:val="32"/>
          <w:szCs w:val="24"/>
        </w:rPr>
        <w:t>Analyzing/Sorting Sputum-Derived Bact</w:t>
      </w:r>
      <w:r w:rsidR="00E04065" w:rsidRPr="008641DA">
        <w:rPr>
          <w:b/>
          <w:smallCaps/>
          <w:sz w:val="32"/>
          <w:szCs w:val="24"/>
        </w:rPr>
        <w:t>eriophages via Flow Cytometry 11/12</w:t>
      </w:r>
      <w:r w:rsidRPr="008641DA">
        <w:rPr>
          <w:b/>
          <w:smallCaps/>
          <w:sz w:val="32"/>
          <w:szCs w:val="24"/>
        </w:rPr>
        <w:t>/19</w:t>
      </w:r>
    </w:p>
    <w:p w14:paraId="17B305F2" w14:textId="77777777" w:rsidR="00517771" w:rsidRPr="008641DA" w:rsidRDefault="00517771">
      <w:pPr>
        <w:rPr>
          <w:smallCaps/>
          <w:szCs w:val="24"/>
        </w:rPr>
      </w:pPr>
      <w:r w:rsidRPr="008641DA">
        <w:rPr>
          <w:smallCaps/>
          <w:szCs w:val="24"/>
        </w:rPr>
        <w:t>Materials:</w:t>
      </w:r>
    </w:p>
    <w:p w14:paraId="49F7E337" w14:textId="77777777" w:rsidR="00517771" w:rsidRPr="008641DA" w:rsidRDefault="00517771" w:rsidP="00517771">
      <w:pPr>
        <w:pStyle w:val="ListParagraph"/>
        <w:numPr>
          <w:ilvl w:val="0"/>
          <w:numId w:val="1"/>
        </w:numPr>
        <w:spacing w:after="0" w:line="240" w:lineRule="auto"/>
        <w:rPr>
          <w:szCs w:val="24"/>
        </w:rPr>
      </w:pPr>
      <w:r w:rsidRPr="008641DA">
        <w:rPr>
          <w:szCs w:val="24"/>
        </w:rPr>
        <w:t>Sputum samples</w:t>
      </w:r>
      <w:bookmarkStart w:id="0" w:name="_GoBack"/>
      <w:bookmarkEnd w:id="0"/>
    </w:p>
    <w:p w14:paraId="45D487B4" w14:textId="77777777" w:rsidR="00517771" w:rsidRPr="008641DA" w:rsidRDefault="00517771" w:rsidP="00517771">
      <w:pPr>
        <w:pStyle w:val="ListParagraph"/>
        <w:numPr>
          <w:ilvl w:val="0"/>
          <w:numId w:val="1"/>
        </w:numPr>
        <w:spacing w:after="0" w:line="240" w:lineRule="auto"/>
        <w:rPr>
          <w:szCs w:val="24"/>
        </w:rPr>
      </w:pPr>
      <w:r w:rsidRPr="008641DA">
        <w:rPr>
          <w:szCs w:val="24"/>
        </w:rPr>
        <w:t>Flow cytometry analysis tubes</w:t>
      </w:r>
    </w:p>
    <w:p w14:paraId="0566CC40" w14:textId="77777777" w:rsidR="00517771" w:rsidRPr="008641DA" w:rsidRDefault="00517771" w:rsidP="00517771">
      <w:pPr>
        <w:pStyle w:val="ListParagraph"/>
        <w:numPr>
          <w:ilvl w:val="0"/>
          <w:numId w:val="1"/>
        </w:numPr>
        <w:spacing w:after="0" w:line="240" w:lineRule="auto"/>
        <w:rPr>
          <w:szCs w:val="24"/>
        </w:rPr>
      </w:pPr>
      <w:r w:rsidRPr="008641DA">
        <w:rPr>
          <w:szCs w:val="24"/>
        </w:rPr>
        <w:t>Commercial stock solution of SYBR Green I</w:t>
      </w:r>
    </w:p>
    <w:p w14:paraId="53B66E25" w14:textId="77777777" w:rsidR="005C0B1F" w:rsidRPr="008641DA" w:rsidRDefault="005C0B1F" w:rsidP="00517771">
      <w:pPr>
        <w:pStyle w:val="ListParagraph"/>
        <w:numPr>
          <w:ilvl w:val="0"/>
          <w:numId w:val="1"/>
        </w:numPr>
        <w:spacing w:after="0" w:line="240" w:lineRule="auto"/>
        <w:rPr>
          <w:szCs w:val="24"/>
        </w:rPr>
      </w:pPr>
      <w:proofErr w:type="spellStart"/>
      <w:r w:rsidRPr="008641DA">
        <w:rPr>
          <w:szCs w:val="24"/>
        </w:rPr>
        <w:t>FluoSpheres</w:t>
      </w:r>
      <w:proofErr w:type="spellEnd"/>
      <w:r w:rsidRPr="008641DA">
        <w:rPr>
          <w:szCs w:val="24"/>
        </w:rPr>
        <w:t xml:space="preserve"> Carboxylate-modified Microspheres, 1.0µm, yellow-green fluorescent (505/515)</w:t>
      </w:r>
    </w:p>
    <w:p w14:paraId="18AC5271" w14:textId="77777777" w:rsidR="00517771" w:rsidRPr="008641DA" w:rsidRDefault="00517771" w:rsidP="00517771">
      <w:pPr>
        <w:pStyle w:val="ListParagraph"/>
        <w:numPr>
          <w:ilvl w:val="0"/>
          <w:numId w:val="1"/>
        </w:numPr>
        <w:spacing w:after="0" w:line="240" w:lineRule="auto"/>
        <w:rPr>
          <w:szCs w:val="24"/>
        </w:rPr>
      </w:pPr>
      <w:r w:rsidRPr="008641DA">
        <w:rPr>
          <w:szCs w:val="24"/>
        </w:rPr>
        <w:t>1.5mL microcentrifuge tubes</w:t>
      </w:r>
    </w:p>
    <w:p w14:paraId="25E37A17" w14:textId="77777777" w:rsidR="00D657E5" w:rsidRPr="008641DA" w:rsidRDefault="00D657E5" w:rsidP="00517771">
      <w:pPr>
        <w:pStyle w:val="ListParagraph"/>
        <w:numPr>
          <w:ilvl w:val="0"/>
          <w:numId w:val="1"/>
        </w:numPr>
        <w:spacing w:after="0" w:line="240" w:lineRule="auto"/>
        <w:rPr>
          <w:szCs w:val="24"/>
        </w:rPr>
      </w:pPr>
      <w:r w:rsidRPr="008641DA">
        <w:rPr>
          <w:szCs w:val="24"/>
        </w:rPr>
        <w:t>15mL conical tubes</w:t>
      </w:r>
    </w:p>
    <w:p w14:paraId="22CF914F" w14:textId="77777777" w:rsidR="00517771" w:rsidRPr="008641DA" w:rsidRDefault="00517771" w:rsidP="00517771">
      <w:pPr>
        <w:pStyle w:val="ListParagraph"/>
        <w:numPr>
          <w:ilvl w:val="0"/>
          <w:numId w:val="1"/>
        </w:numPr>
        <w:spacing w:after="0" w:line="240" w:lineRule="auto"/>
        <w:rPr>
          <w:szCs w:val="24"/>
        </w:rPr>
      </w:pPr>
      <w:proofErr w:type="spellStart"/>
      <w:r w:rsidRPr="008641DA">
        <w:rPr>
          <w:szCs w:val="24"/>
        </w:rPr>
        <w:t>MilliQ</w:t>
      </w:r>
      <w:proofErr w:type="spellEnd"/>
      <w:r w:rsidR="005C0B1F" w:rsidRPr="008641DA">
        <w:rPr>
          <w:szCs w:val="24"/>
        </w:rPr>
        <w:t>/Nuclease-free water</w:t>
      </w:r>
    </w:p>
    <w:p w14:paraId="10064C15" w14:textId="77777777" w:rsidR="00517771" w:rsidRPr="008641DA" w:rsidRDefault="00517771" w:rsidP="00517771">
      <w:pPr>
        <w:pStyle w:val="ListParagraph"/>
        <w:numPr>
          <w:ilvl w:val="0"/>
          <w:numId w:val="1"/>
        </w:numPr>
        <w:spacing w:after="0" w:line="240" w:lineRule="auto"/>
        <w:rPr>
          <w:szCs w:val="24"/>
        </w:rPr>
      </w:pPr>
      <w:r w:rsidRPr="008641DA">
        <w:rPr>
          <w:szCs w:val="24"/>
        </w:rPr>
        <w:t xml:space="preserve">TE buffer 10:1 (10mM </w:t>
      </w:r>
      <w:proofErr w:type="spellStart"/>
      <w:r w:rsidRPr="008641DA">
        <w:rPr>
          <w:szCs w:val="24"/>
        </w:rPr>
        <w:t>Tris</w:t>
      </w:r>
      <w:proofErr w:type="spellEnd"/>
      <w:r w:rsidRPr="008641DA">
        <w:rPr>
          <w:szCs w:val="24"/>
        </w:rPr>
        <w:t>, 1mM EDTA)</w:t>
      </w:r>
    </w:p>
    <w:p w14:paraId="5CA186F0" w14:textId="77777777" w:rsidR="00517771" w:rsidRPr="008641DA" w:rsidRDefault="00517771" w:rsidP="00517771">
      <w:pPr>
        <w:pStyle w:val="ListParagraph"/>
        <w:numPr>
          <w:ilvl w:val="0"/>
          <w:numId w:val="1"/>
        </w:numPr>
        <w:spacing w:after="0" w:line="240" w:lineRule="auto"/>
        <w:rPr>
          <w:szCs w:val="24"/>
        </w:rPr>
      </w:pPr>
      <w:r w:rsidRPr="008641DA">
        <w:rPr>
          <w:szCs w:val="24"/>
        </w:rPr>
        <w:t>0.2</w:t>
      </w:r>
      <w:r w:rsidR="005C0B1F" w:rsidRPr="008641DA">
        <w:rPr>
          <w:szCs w:val="24"/>
        </w:rPr>
        <w:t>2</w:t>
      </w:r>
      <w:r w:rsidRPr="008641DA">
        <w:rPr>
          <w:szCs w:val="24"/>
        </w:rPr>
        <w:t>µ</w:t>
      </w:r>
      <w:r w:rsidR="00A631BD" w:rsidRPr="008641DA">
        <w:rPr>
          <w:szCs w:val="24"/>
        </w:rPr>
        <w:t>m</w:t>
      </w:r>
      <w:r w:rsidRPr="008641DA">
        <w:rPr>
          <w:szCs w:val="24"/>
        </w:rPr>
        <w:t xml:space="preserve"> pore size filters</w:t>
      </w:r>
    </w:p>
    <w:p w14:paraId="3BC27FB4" w14:textId="4D2B92A2" w:rsidR="009D5D53" w:rsidRPr="008641DA" w:rsidRDefault="009D5D53" w:rsidP="00517771">
      <w:pPr>
        <w:pStyle w:val="ListParagraph"/>
        <w:numPr>
          <w:ilvl w:val="0"/>
          <w:numId w:val="1"/>
        </w:numPr>
        <w:spacing w:after="0" w:line="240" w:lineRule="auto"/>
        <w:rPr>
          <w:szCs w:val="24"/>
        </w:rPr>
      </w:pPr>
      <w:r w:rsidRPr="008641DA">
        <w:rPr>
          <w:szCs w:val="24"/>
        </w:rPr>
        <w:t>Heat block</w:t>
      </w:r>
    </w:p>
    <w:p w14:paraId="1BA535EF" w14:textId="189C7F16" w:rsidR="00A841BC" w:rsidRPr="008641DA" w:rsidRDefault="00A841BC" w:rsidP="00517771">
      <w:pPr>
        <w:pStyle w:val="ListParagraph"/>
        <w:numPr>
          <w:ilvl w:val="0"/>
          <w:numId w:val="1"/>
        </w:numPr>
        <w:spacing w:after="0" w:line="240" w:lineRule="auto"/>
        <w:rPr>
          <w:szCs w:val="24"/>
        </w:rPr>
      </w:pPr>
      <w:r w:rsidRPr="008641DA">
        <w:rPr>
          <w:szCs w:val="24"/>
        </w:rPr>
        <w:t>Sputasol</w:t>
      </w:r>
    </w:p>
    <w:p w14:paraId="46C4319A" w14:textId="0C5DB633" w:rsidR="00A841BC" w:rsidRPr="008641DA" w:rsidRDefault="00A841BC" w:rsidP="00A841BC">
      <w:pPr>
        <w:pStyle w:val="ListParagraph"/>
        <w:numPr>
          <w:ilvl w:val="1"/>
          <w:numId w:val="1"/>
        </w:numPr>
        <w:spacing w:after="0" w:line="240" w:lineRule="auto"/>
        <w:rPr>
          <w:szCs w:val="24"/>
        </w:rPr>
      </w:pPr>
      <w:r w:rsidRPr="008641DA">
        <w:rPr>
          <w:szCs w:val="24"/>
        </w:rPr>
        <w:t>Add the Sputasol vial contents to a 92.5mL of sterile, distilled water (scale down if necessary).</w:t>
      </w:r>
    </w:p>
    <w:p w14:paraId="2FA9E00D" w14:textId="3490B683" w:rsidR="00D657E5" w:rsidRPr="008641DA" w:rsidRDefault="00A841BC" w:rsidP="00E04065">
      <w:pPr>
        <w:pStyle w:val="ListParagraph"/>
        <w:numPr>
          <w:ilvl w:val="1"/>
          <w:numId w:val="1"/>
        </w:numPr>
        <w:spacing w:after="0" w:line="240" w:lineRule="auto"/>
        <w:rPr>
          <w:szCs w:val="24"/>
        </w:rPr>
      </w:pPr>
      <w:r w:rsidRPr="008641DA">
        <w:rPr>
          <w:szCs w:val="24"/>
        </w:rPr>
        <w:t>Use right away or store at 4°C for 48H.</w:t>
      </w:r>
    </w:p>
    <w:p w14:paraId="23052D63" w14:textId="77777777" w:rsidR="00D657E5" w:rsidRPr="008641DA" w:rsidRDefault="00D657E5" w:rsidP="00D657E5">
      <w:pPr>
        <w:rPr>
          <w:smallCaps/>
          <w:szCs w:val="24"/>
        </w:rPr>
      </w:pPr>
      <w:r w:rsidRPr="008641DA">
        <w:rPr>
          <w:smallCaps/>
          <w:szCs w:val="24"/>
        </w:rPr>
        <w:t>Steps:</w:t>
      </w:r>
    </w:p>
    <w:p w14:paraId="18AB0091" w14:textId="77777777" w:rsidR="00D657E5" w:rsidRPr="008641DA" w:rsidRDefault="00D657E5" w:rsidP="00D657E5">
      <w:pPr>
        <w:rPr>
          <w:i/>
          <w:szCs w:val="24"/>
        </w:rPr>
      </w:pPr>
      <w:r w:rsidRPr="008641DA">
        <w:rPr>
          <w:i/>
          <w:szCs w:val="24"/>
        </w:rPr>
        <w:t>**schedule time on the flow cytometer at the Flow Core with a prepared PO**</w:t>
      </w:r>
    </w:p>
    <w:p w14:paraId="734166BB" w14:textId="77777777" w:rsidR="00D657E5" w:rsidRPr="008641DA" w:rsidRDefault="00D657E5" w:rsidP="00D657E5">
      <w:pPr>
        <w:rPr>
          <w:b/>
          <w:szCs w:val="24"/>
        </w:rPr>
      </w:pPr>
      <w:r w:rsidRPr="008641DA">
        <w:rPr>
          <w:b/>
          <w:szCs w:val="24"/>
        </w:rPr>
        <w:t xml:space="preserve">Prepare Working Stock Solutions </w:t>
      </w:r>
    </w:p>
    <w:p w14:paraId="2F0F0CA5" w14:textId="77777777" w:rsidR="00D657E5" w:rsidRPr="008641DA" w:rsidRDefault="00D657E5" w:rsidP="00D657E5">
      <w:pPr>
        <w:spacing w:after="0" w:line="240" w:lineRule="auto"/>
        <w:rPr>
          <w:b/>
          <w:szCs w:val="24"/>
        </w:rPr>
      </w:pPr>
      <w:r w:rsidRPr="008641DA">
        <w:rPr>
          <w:b/>
          <w:szCs w:val="24"/>
        </w:rPr>
        <w:t>SYBR Green I</w:t>
      </w:r>
    </w:p>
    <w:p w14:paraId="6F64E164" w14:textId="77777777" w:rsidR="00D657E5" w:rsidRPr="008641DA" w:rsidRDefault="00D657E5" w:rsidP="00D657E5">
      <w:pPr>
        <w:pStyle w:val="ListParagraph"/>
        <w:numPr>
          <w:ilvl w:val="0"/>
          <w:numId w:val="2"/>
        </w:numPr>
        <w:spacing w:after="0" w:line="240" w:lineRule="auto"/>
        <w:rPr>
          <w:szCs w:val="24"/>
        </w:rPr>
      </w:pPr>
      <w:r w:rsidRPr="008641DA">
        <w:rPr>
          <w:szCs w:val="24"/>
        </w:rPr>
        <w:t>Thaw the commercial stock of SYBR Green I in the dark @ RT. Vortex for 10s, then pulse centrifuge.</w:t>
      </w:r>
    </w:p>
    <w:p w14:paraId="0C27B62A" w14:textId="77777777" w:rsidR="00D657E5" w:rsidRPr="008641DA" w:rsidRDefault="00D657E5" w:rsidP="00D657E5">
      <w:pPr>
        <w:pStyle w:val="ListParagraph"/>
        <w:numPr>
          <w:ilvl w:val="0"/>
          <w:numId w:val="2"/>
        </w:numPr>
        <w:spacing w:after="0" w:line="240" w:lineRule="auto"/>
        <w:rPr>
          <w:szCs w:val="24"/>
        </w:rPr>
      </w:pPr>
      <w:r w:rsidRPr="008641DA">
        <w:rPr>
          <w:szCs w:val="24"/>
        </w:rPr>
        <w:t xml:space="preserve">Prepare the working stock solution by </w:t>
      </w:r>
      <w:proofErr w:type="spellStart"/>
      <w:r w:rsidRPr="008641DA">
        <w:rPr>
          <w:szCs w:val="24"/>
        </w:rPr>
        <w:t>aliquoting</w:t>
      </w:r>
      <w:proofErr w:type="spellEnd"/>
      <w:r w:rsidRPr="008641DA">
        <w:rPr>
          <w:szCs w:val="24"/>
        </w:rPr>
        <w:t xml:space="preserve"> 5µl of the commercial stock into 10ml sterile </w:t>
      </w:r>
      <w:proofErr w:type="spellStart"/>
      <w:r w:rsidRPr="008641DA">
        <w:rPr>
          <w:szCs w:val="24"/>
        </w:rPr>
        <w:t>MilliQ</w:t>
      </w:r>
      <w:proofErr w:type="spellEnd"/>
      <w:r w:rsidRPr="008641DA">
        <w:rPr>
          <w:szCs w:val="24"/>
        </w:rPr>
        <w:t xml:space="preserve"> in a 15mL conical tube</w:t>
      </w:r>
      <w:r w:rsidR="00D315C9" w:rsidRPr="008641DA">
        <w:rPr>
          <w:szCs w:val="24"/>
        </w:rPr>
        <w:t xml:space="preserve"> (1:2,000)</w:t>
      </w:r>
      <w:r w:rsidRPr="008641DA">
        <w:rPr>
          <w:szCs w:val="24"/>
        </w:rPr>
        <w:t>. Work with this solution in dimmed light, as SYBR Green is light-sensitive. Wrap tube in aluminum foil before labeling. You can prepare several working stocks at a time and store them at -20°C until use.</w:t>
      </w:r>
    </w:p>
    <w:p w14:paraId="6A840E0C" w14:textId="77777777" w:rsidR="00D657E5" w:rsidRPr="008641DA" w:rsidRDefault="00D657E5" w:rsidP="00D657E5">
      <w:pPr>
        <w:spacing w:after="0" w:line="240" w:lineRule="auto"/>
        <w:rPr>
          <w:b/>
          <w:szCs w:val="24"/>
        </w:rPr>
      </w:pPr>
      <w:r w:rsidRPr="008641DA">
        <w:rPr>
          <w:b/>
          <w:szCs w:val="24"/>
        </w:rPr>
        <w:t>Microsphere Standard</w:t>
      </w:r>
    </w:p>
    <w:p w14:paraId="671BC351" w14:textId="77777777" w:rsidR="000030B0" w:rsidRPr="008641DA" w:rsidRDefault="000030B0" w:rsidP="000030B0">
      <w:pPr>
        <w:pStyle w:val="ListParagraph"/>
        <w:numPr>
          <w:ilvl w:val="0"/>
          <w:numId w:val="8"/>
        </w:numPr>
        <w:spacing w:after="0" w:line="240" w:lineRule="auto"/>
        <w:rPr>
          <w:szCs w:val="24"/>
        </w:rPr>
      </w:pPr>
      <w:r w:rsidRPr="008641DA">
        <w:rPr>
          <w:szCs w:val="24"/>
        </w:rPr>
        <w:t xml:space="preserve">Mix the beads by </w:t>
      </w:r>
      <w:proofErr w:type="spellStart"/>
      <w:r w:rsidRPr="008641DA">
        <w:rPr>
          <w:szCs w:val="24"/>
        </w:rPr>
        <w:t>vortexing</w:t>
      </w:r>
      <w:proofErr w:type="spellEnd"/>
      <w:r w:rsidRPr="008641DA">
        <w:rPr>
          <w:szCs w:val="24"/>
        </w:rPr>
        <w:t xml:space="preserve"> to ensure homogeneity. </w:t>
      </w:r>
    </w:p>
    <w:p w14:paraId="2F20D5EA" w14:textId="77777777" w:rsidR="000030B0" w:rsidRPr="008641DA" w:rsidRDefault="000030B0" w:rsidP="000030B0">
      <w:pPr>
        <w:pStyle w:val="ListParagraph"/>
        <w:numPr>
          <w:ilvl w:val="0"/>
          <w:numId w:val="8"/>
        </w:numPr>
        <w:spacing w:after="0" w:line="240" w:lineRule="auto"/>
        <w:rPr>
          <w:szCs w:val="24"/>
        </w:rPr>
      </w:pPr>
      <w:r w:rsidRPr="008641DA">
        <w:rPr>
          <w:szCs w:val="24"/>
        </w:rPr>
        <w:t xml:space="preserve">Prepare a primary stock solution by adding 1-2 drops of the commercial stock into 10mL sterile </w:t>
      </w:r>
      <w:proofErr w:type="spellStart"/>
      <w:r w:rsidRPr="008641DA">
        <w:rPr>
          <w:szCs w:val="24"/>
        </w:rPr>
        <w:t>MilliQ</w:t>
      </w:r>
      <w:proofErr w:type="spellEnd"/>
      <w:r w:rsidRPr="008641DA">
        <w:rPr>
          <w:szCs w:val="24"/>
        </w:rPr>
        <w:t xml:space="preserve"> in a sterile 15mL conical. This can be stored at 4°C. </w:t>
      </w:r>
    </w:p>
    <w:p w14:paraId="19BB4388" w14:textId="77777777" w:rsidR="008727B8" w:rsidRPr="008641DA" w:rsidRDefault="000030B0" w:rsidP="00D657E5">
      <w:pPr>
        <w:pStyle w:val="ListParagraph"/>
        <w:numPr>
          <w:ilvl w:val="0"/>
          <w:numId w:val="8"/>
        </w:numPr>
        <w:spacing w:after="0" w:line="240" w:lineRule="auto"/>
        <w:rPr>
          <w:szCs w:val="24"/>
        </w:rPr>
      </w:pPr>
      <w:r w:rsidRPr="008641DA">
        <w:rPr>
          <w:szCs w:val="24"/>
        </w:rPr>
        <w:t xml:space="preserve">To prepare for use, add 10µL primary stock to 2.4 mL </w:t>
      </w:r>
      <w:proofErr w:type="spellStart"/>
      <w:r w:rsidRPr="008641DA">
        <w:rPr>
          <w:szCs w:val="24"/>
        </w:rPr>
        <w:t>MilliQ</w:t>
      </w:r>
      <w:proofErr w:type="spellEnd"/>
      <w:r w:rsidRPr="008641DA">
        <w:rPr>
          <w:szCs w:val="24"/>
        </w:rPr>
        <w:t xml:space="preserve"> or TE buffer (10:1, pH=8.0). This can be kept at RT for the entire day. Mix immediately prior to use.</w:t>
      </w:r>
    </w:p>
    <w:p w14:paraId="401A83DC" w14:textId="77777777" w:rsidR="00D657E5" w:rsidRPr="008641DA" w:rsidRDefault="00D657E5" w:rsidP="00D657E5">
      <w:pPr>
        <w:spacing w:after="0" w:line="240" w:lineRule="auto"/>
        <w:rPr>
          <w:b/>
          <w:szCs w:val="24"/>
        </w:rPr>
      </w:pPr>
      <w:r w:rsidRPr="008641DA">
        <w:rPr>
          <w:b/>
          <w:szCs w:val="24"/>
        </w:rPr>
        <w:t>TE-Buffer 10:1</w:t>
      </w:r>
    </w:p>
    <w:p w14:paraId="54416563" w14:textId="77777777" w:rsidR="00D657E5" w:rsidRPr="008641DA" w:rsidRDefault="00D657E5" w:rsidP="00D657E5">
      <w:pPr>
        <w:pStyle w:val="ListParagraph"/>
        <w:numPr>
          <w:ilvl w:val="0"/>
          <w:numId w:val="4"/>
        </w:numPr>
        <w:spacing w:after="0" w:line="240" w:lineRule="auto"/>
        <w:rPr>
          <w:szCs w:val="24"/>
        </w:rPr>
      </w:pPr>
      <w:r w:rsidRPr="008641DA">
        <w:rPr>
          <w:szCs w:val="24"/>
        </w:rPr>
        <w:t xml:space="preserve">Prepare 500mL TE buffer 10:1 by adding 5mL of 1M </w:t>
      </w:r>
      <w:proofErr w:type="spellStart"/>
      <w:r w:rsidRPr="008641DA">
        <w:rPr>
          <w:szCs w:val="24"/>
        </w:rPr>
        <w:t>Tris</w:t>
      </w:r>
      <w:proofErr w:type="spellEnd"/>
      <w:r w:rsidRPr="008641DA">
        <w:rPr>
          <w:szCs w:val="24"/>
        </w:rPr>
        <w:t xml:space="preserve"> (pH=8.0) and 1mL of 0.5M EDTA (pH=8.0) to 494mL of </w:t>
      </w:r>
      <w:proofErr w:type="spellStart"/>
      <w:r w:rsidRPr="008641DA">
        <w:rPr>
          <w:szCs w:val="24"/>
        </w:rPr>
        <w:t>MilliQ</w:t>
      </w:r>
      <w:proofErr w:type="spellEnd"/>
      <w:r w:rsidRPr="008641DA">
        <w:rPr>
          <w:szCs w:val="24"/>
        </w:rPr>
        <w:t>. Mix well and check pH (should be 8.0).</w:t>
      </w:r>
    </w:p>
    <w:p w14:paraId="6BDB7854" w14:textId="77777777" w:rsidR="00D657E5" w:rsidRPr="008641DA" w:rsidRDefault="00D657E5" w:rsidP="00D657E5">
      <w:pPr>
        <w:pStyle w:val="ListParagraph"/>
        <w:numPr>
          <w:ilvl w:val="0"/>
          <w:numId w:val="4"/>
        </w:numPr>
        <w:spacing w:after="0" w:line="240" w:lineRule="auto"/>
        <w:rPr>
          <w:szCs w:val="24"/>
        </w:rPr>
      </w:pPr>
      <w:r w:rsidRPr="008641DA">
        <w:rPr>
          <w:szCs w:val="24"/>
        </w:rPr>
        <w:t>Divide over two bottles of 500mL and autoclave for 20min with the lids closed. Store at RT.</w:t>
      </w:r>
    </w:p>
    <w:p w14:paraId="5DA427E6" w14:textId="77777777" w:rsidR="00D657E5" w:rsidRPr="008641DA" w:rsidRDefault="00D657E5" w:rsidP="00D657E5">
      <w:pPr>
        <w:pStyle w:val="ListParagraph"/>
        <w:numPr>
          <w:ilvl w:val="0"/>
          <w:numId w:val="4"/>
        </w:numPr>
        <w:spacing w:after="0" w:line="240" w:lineRule="auto"/>
        <w:rPr>
          <w:szCs w:val="24"/>
        </w:rPr>
      </w:pPr>
      <w:r w:rsidRPr="008641DA">
        <w:rPr>
          <w:szCs w:val="24"/>
        </w:rPr>
        <w:lastRenderedPageBreak/>
        <w:t>Filter a small volume of the TE-buffer (50mL) through a 0.2µm filter into a sterile bottle</w:t>
      </w:r>
      <w:r w:rsidR="009827A2" w:rsidRPr="008641DA">
        <w:rPr>
          <w:szCs w:val="24"/>
        </w:rPr>
        <w:t xml:space="preserve"> or tube prior to use.</w:t>
      </w:r>
    </w:p>
    <w:p w14:paraId="7D9B8648" w14:textId="77777777" w:rsidR="009827A2" w:rsidRPr="008641DA" w:rsidRDefault="009827A2" w:rsidP="00D657E5">
      <w:pPr>
        <w:pStyle w:val="ListParagraph"/>
        <w:numPr>
          <w:ilvl w:val="0"/>
          <w:numId w:val="4"/>
        </w:numPr>
        <w:spacing w:after="0" w:line="240" w:lineRule="auto"/>
        <w:rPr>
          <w:szCs w:val="24"/>
        </w:rPr>
      </w:pPr>
      <w:r w:rsidRPr="008641DA">
        <w:rPr>
          <w:szCs w:val="24"/>
        </w:rPr>
        <w:t>**Check the quality of the solution by running through the FCM at the appropriate settings.</w:t>
      </w:r>
      <w:r w:rsidR="000030B0" w:rsidRPr="008641DA">
        <w:rPr>
          <w:szCs w:val="24"/>
        </w:rPr>
        <w:t xml:space="preserve"> </w:t>
      </w:r>
      <w:r w:rsidRPr="008641DA">
        <w:rPr>
          <w:szCs w:val="24"/>
        </w:rPr>
        <w:t>** This samples should give ≤ 30 events s</w:t>
      </w:r>
      <w:r w:rsidRPr="008641DA">
        <w:rPr>
          <w:szCs w:val="24"/>
          <w:vertAlign w:val="superscript"/>
        </w:rPr>
        <w:t>-1</w:t>
      </w:r>
      <w:r w:rsidRPr="008641DA">
        <w:rPr>
          <w:szCs w:val="24"/>
        </w:rPr>
        <w:t xml:space="preserve"> at a flow rate of approx. 35µl min</w:t>
      </w:r>
      <w:r w:rsidRPr="008641DA">
        <w:rPr>
          <w:szCs w:val="24"/>
          <w:vertAlign w:val="superscript"/>
        </w:rPr>
        <w:t>-1</w:t>
      </w:r>
      <w:r w:rsidRPr="008641DA">
        <w:rPr>
          <w:szCs w:val="24"/>
        </w:rPr>
        <w:t>.</w:t>
      </w:r>
    </w:p>
    <w:p w14:paraId="527B6F4B" w14:textId="77777777" w:rsidR="000030B0" w:rsidRPr="008641DA" w:rsidRDefault="000030B0" w:rsidP="000030B0">
      <w:pPr>
        <w:pStyle w:val="ListParagraph"/>
        <w:spacing w:after="0" w:line="240" w:lineRule="auto"/>
        <w:rPr>
          <w:szCs w:val="24"/>
        </w:rPr>
      </w:pPr>
    </w:p>
    <w:p w14:paraId="646962E4" w14:textId="77777777" w:rsidR="009827A2" w:rsidRPr="008641DA" w:rsidRDefault="009827A2" w:rsidP="009827A2">
      <w:pPr>
        <w:spacing w:after="0" w:line="240" w:lineRule="auto"/>
        <w:rPr>
          <w:szCs w:val="24"/>
        </w:rPr>
      </w:pPr>
    </w:p>
    <w:p w14:paraId="3A03AC14" w14:textId="77777777" w:rsidR="009827A2" w:rsidRPr="008641DA" w:rsidRDefault="009827A2" w:rsidP="009827A2">
      <w:pPr>
        <w:spacing w:after="0" w:line="240" w:lineRule="auto"/>
        <w:rPr>
          <w:b/>
          <w:szCs w:val="24"/>
        </w:rPr>
      </w:pPr>
      <w:r w:rsidRPr="008641DA">
        <w:rPr>
          <w:b/>
          <w:szCs w:val="24"/>
        </w:rPr>
        <w:t>Checking to see if the FCM is clean enough to enumerate viruses</w:t>
      </w:r>
    </w:p>
    <w:p w14:paraId="39ED60A5" w14:textId="77777777" w:rsidR="009827A2" w:rsidRPr="008641DA" w:rsidRDefault="009827A2" w:rsidP="009827A2">
      <w:pPr>
        <w:pStyle w:val="ListParagraph"/>
        <w:numPr>
          <w:ilvl w:val="0"/>
          <w:numId w:val="5"/>
        </w:numPr>
        <w:spacing w:after="0" w:line="240" w:lineRule="auto"/>
        <w:rPr>
          <w:szCs w:val="24"/>
        </w:rPr>
      </w:pPr>
      <w:r w:rsidRPr="008641DA">
        <w:rPr>
          <w:szCs w:val="24"/>
        </w:rPr>
        <w:t xml:space="preserve">Run </w:t>
      </w:r>
      <w:proofErr w:type="spellStart"/>
      <w:r w:rsidRPr="008641DA">
        <w:rPr>
          <w:szCs w:val="24"/>
        </w:rPr>
        <w:t>MilliQ</w:t>
      </w:r>
      <w:proofErr w:type="spellEnd"/>
      <w:r w:rsidRPr="008641DA">
        <w:rPr>
          <w:szCs w:val="24"/>
        </w:rPr>
        <w:t xml:space="preserve"> on the cytometer for 10 min. </w:t>
      </w:r>
    </w:p>
    <w:p w14:paraId="62A16A90" w14:textId="77777777" w:rsidR="009827A2" w:rsidRPr="008641DA" w:rsidRDefault="009827A2" w:rsidP="009827A2">
      <w:pPr>
        <w:pStyle w:val="ListParagraph"/>
        <w:numPr>
          <w:ilvl w:val="0"/>
          <w:numId w:val="5"/>
        </w:numPr>
        <w:spacing w:after="0" w:line="240" w:lineRule="auto"/>
        <w:rPr>
          <w:szCs w:val="24"/>
        </w:rPr>
      </w:pPr>
      <w:r w:rsidRPr="008641DA">
        <w:rPr>
          <w:szCs w:val="24"/>
        </w:rPr>
        <w:t xml:space="preserve">Take away the </w:t>
      </w:r>
      <w:proofErr w:type="spellStart"/>
      <w:r w:rsidRPr="008641DA">
        <w:rPr>
          <w:szCs w:val="24"/>
        </w:rPr>
        <w:t>MilliQ</w:t>
      </w:r>
      <w:proofErr w:type="spellEnd"/>
      <w:r w:rsidRPr="008641DA">
        <w:rPr>
          <w:szCs w:val="24"/>
        </w:rPr>
        <w:t xml:space="preserve"> sample and replace with another tube of </w:t>
      </w:r>
      <w:proofErr w:type="spellStart"/>
      <w:r w:rsidRPr="008641DA">
        <w:rPr>
          <w:szCs w:val="24"/>
        </w:rPr>
        <w:t>MilliQ</w:t>
      </w:r>
      <w:proofErr w:type="spellEnd"/>
      <w:r w:rsidRPr="008641DA">
        <w:rPr>
          <w:szCs w:val="24"/>
        </w:rPr>
        <w:t>. Check whether the FCM is clean enough to enumerate viruses by setting the trigger to SSC and the voltage below, but close to, the level where instrumental noise starts to become significant. Typically, the SSC voltage is set around 300; the event rate at a flow rate of 35µl min</w:t>
      </w:r>
      <w:r w:rsidRPr="008641DA">
        <w:rPr>
          <w:szCs w:val="24"/>
          <w:vertAlign w:val="superscript"/>
        </w:rPr>
        <w:t>-1</w:t>
      </w:r>
      <w:r w:rsidRPr="008641DA">
        <w:rPr>
          <w:szCs w:val="24"/>
        </w:rPr>
        <w:t xml:space="preserve"> should then be &lt; 75 events s</w:t>
      </w:r>
      <w:r w:rsidRPr="008641DA">
        <w:rPr>
          <w:szCs w:val="24"/>
          <w:vertAlign w:val="superscript"/>
        </w:rPr>
        <w:t>-1</w:t>
      </w:r>
      <w:r w:rsidRPr="008641DA">
        <w:rPr>
          <w:szCs w:val="24"/>
        </w:rPr>
        <w:t>. If the event rate is higher, the machine is too dirty and should be cleaned before use and the above steps should be repeated until it is clean.</w:t>
      </w:r>
    </w:p>
    <w:p w14:paraId="6582013C" w14:textId="77777777" w:rsidR="009827A2" w:rsidRPr="008641DA" w:rsidRDefault="009827A2" w:rsidP="009827A2">
      <w:pPr>
        <w:spacing w:after="0" w:line="240" w:lineRule="auto"/>
        <w:rPr>
          <w:b/>
          <w:szCs w:val="24"/>
        </w:rPr>
      </w:pPr>
      <w:r w:rsidRPr="008641DA">
        <w:rPr>
          <w:b/>
          <w:szCs w:val="24"/>
        </w:rPr>
        <w:t>Calibration of Flow Rate</w:t>
      </w:r>
    </w:p>
    <w:p w14:paraId="47763C5A" w14:textId="77777777" w:rsidR="009827A2" w:rsidRPr="008641DA" w:rsidRDefault="00CF41F5" w:rsidP="009827A2">
      <w:pPr>
        <w:pStyle w:val="ListParagraph"/>
        <w:numPr>
          <w:ilvl w:val="0"/>
          <w:numId w:val="6"/>
        </w:numPr>
        <w:spacing w:after="0" w:line="240" w:lineRule="auto"/>
        <w:rPr>
          <w:szCs w:val="24"/>
        </w:rPr>
      </w:pPr>
      <w:r w:rsidRPr="008641DA">
        <w:rPr>
          <w:szCs w:val="24"/>
        </w:rPr>
        <w:t xml:space="preserve">Sheath fluid recommended </w:t>
      </w:r>
      <w:r w:rsidRPr="008641DA">
        <w:rPr>
          <w:szCs w:val="24"/>
        </w:rPr>
        <w:sym w:font="Wingdings" w:char="F0E0"/>
      </w:r>
      <w:r w:rsidRPr="008641DA">
        <w:rPr>
          <w:szCs w:val="24"/>
        </w:rPr>
        <w:t xml:space="preserve"> </w:t>
      </w:r>
      <w:proofErr w:type="spellStart"/>
      <w:r w:rsidRPr="008641DA">
        <w:rPr>
          <w:szCs w:val="24"/>
        </w:rPr>
        <w:t>MilliQ</w:t>
      </w:r>
      <w:proofErr w:type="spellEnd"/>
      <w:r w:rsidRPr="008641DA">
        <w:rPr>
          <w:szCs w:val="24"/>
        </w:rPr>
        <w:t>.</w:t>
      </w:r>
    </w:p>
    <w:p w14:paraId="1DF63592" w14:textId="77777777" w:rsidR="00CF41F5" w:rsidRPr="008641DA" w:rsidRDefault="00CF41F5" w:rsidP="009827A2">
      <w:pPr>
        <w:pStyle w:val="ListParagraph"/>
        <w:numPr>
          <w:ilvl w:val="0"/>
          <w:numId w:val="6"/>
        </w:numPr>
        <w:spacing w:after="0" w:line="240" w:lineRule="auto"/>
        <w:rPr>
          <w:szCs w:val="24"/>
        </w:rPr>
      </w:pPr>
      <w:r w:rsidRPr="008641DA">
        <w:rPr>
          <w:szCs w:val="24"/>
        </w:rPr>
        <w:t>Select the appropriate flow rate. The typical flow rate is MED, between 25 and 35µl min</w:t>
      </w:r>
      <w:r w:rsidRPr="008641DA">
        <w:rPr>
          <w:szCs w:val="24"/>
          <w:vertAlign w:val="superscript"/>
        </w:rPr>
        <w:t>-1</w:t>
      </w:r>
      <w:r w:rsidRPr="008641DA">
        <w:rPr>
          <w:szCs w:val="24"/>
        </w:rPr>
        <w:t xml:space="preserve">. </w:t>
      </w:r>
    </w:p>
    <w:p w14:paraId="0971D299" w14:textId="77777777" w:rsidR="00CF41F5" w:rsidRPr="008641DA" w:rsidRDefault="00CF41F5" w:rsidP="009827A2">
      <w:pPr>
        <w:pStyle w:val="ListParagraph"/>
        <w:numPr>
          <w:ilvl w:val="0"/>
          <w:numId w:val="6"/>
        </w:numPr>
        <w:spacing w:after="0" w:line="240" w:lineRule="auto"/>
        <w:rPr>
          <w:szCs w:val="24"/>
        </w:rPr>
      </w:pPr>
      <w:r w:rsidRPr="008641DA">
        <w:rPr>
          <w:szCs w:val="24"/>
        </w:rPr>
        <w:t>Fill a FCM tube with 2-3mL of TE and determine its weight (X</w:t>
      </w:r>
      <w:r w:rsidR="009D5D53" w:rsidRPr="008641DA">
        <w:rPr>
          <w:szCs w:val="24"/>
          <w:vertAlign w:val="subscript"/>
        </w:rPr>
        <w:t>i</w:t>
      </w:r>
      <w:r w:rsidRPr="008641DA">
        <w:rPr>
          <w:szCs w:val="24"/>
        </w:rPr>
        <w:t>).</w:t>
      </w:r>
    </w:p>
    <w:p w14:paraId="6EA8DFAB" w14:textId="77777777" w:rsidR="00CF41F5" w:rsidRPr="008641DA" w:rsidRDefault="00CF41F5" w:rsidP="009827A2">
      <w:pPr>
        <w:pStyle w:val="ListParagraph"/>
        <w:numPr>
          <w:ilvl w:val="0"/>
          <w:numId w:val="6"/>
        </w:numPr>
        <w:spacing w:after="0" w:line="240" w:lineRule="auto"/>
        <w:rPr>
          <w:szCs w:val="24"/>
        </w:rPr>
      </w:pPr>
      <w:r w:rsidRPr="008641DA">
        <w:rPr>
          <w:szCs w:val="24"/>
        </w:rPr>
        <w:t xml:space="preserve">Run the sample for 15 min. </w:t>
      </w:r>
      <w:proofErr w:type="gramStart"/>
      <w:r w:rsidRPr="008641DA">
        <w:rPr>
          <w:szCs w:val="24"/>
        </w:rPr>
        <w:t>Start</w:t>
      </w:r>
      <w:proofErr w:type="gramEnd"/>
      <w:r w:rsidRPr="008641DA">
        <w:rPr>
          <w:szCs w:val="24"/>
        </w:rPr>
        <w:t xml:space="preserve"> the chronometer simultaneously when starting the run.</w:t>
      </w:r>
    </w:p>
    <w:p w14:paraId="5F9983C7" w14:textId="77777777" w:rsidR="00CF41F5" w:rsidRPr="008641DA" w:rsidRDefault="00CF41F5" w:rsidP="009827A2">
      <w:pPr>
        <w:pStyle w:val="ListParagraph"/>
        <w:numPr>
          <w:ilvl w:val="0"/>
          <w:numId w:val="6"/>
        </w:numPr>
        <w:spacing w:after="0" w:line="240" w:lineRule="auto"/>
        <w:rPr>
          <w:szCs w:val="24"/>
        </w:rPr>
      </w:pPr>
      <w:r w:rsidRPr="008641DA">
        <w:rPr>
          <w:szCs w:val="24"/>
        </w:rPr>
        <w:t>Remove the tube and stop the chronometer.</w:t>
      </w:r>
    </w:p>
    <w:p w14:paraId="1F614F6C" w14:textId="77777777" w:rsidR="00CF41F5" w:rsidRPr="008641DA" w:rsidRDefault="00CF41F5" w:rsidP="009827A2">
      <w:pPr>
        <w:pStyle w:val="ListParagraph"/>
        <w:numPr>
          <w:ilvl w:val="0"/>
          <w:numId w:val="6"/>
        </w:numPr>
        <w:spacing w:after="0" w:line="240" w:lineRule="auto"/>
        <w:rPr>
          <w:szCs w:val="24"/>
        </w:rPr>
      </w:pPr>
      <w:r w:rsidRPr="008641DA">
        <w:rPr>
          <w:szCs w:val="24"/>
        </w:rPr>
        <w:t>Weigh the tube and calculate the flow rate (µl min</w:t>
      </w:r>
      <w:r w:rsidRPr="008641DA">
        <w:rPr>
          <w:szCs w:val="24"/>
          <w:vertAlign w:val="superscript"/>
        </w:rPr>
        <w:t>-1</w:t>
      </w:r>
      <w:r w:rsidRPr="008641DA">
        <w:rPr>
          <w:szCs w:val="24"/>
        </w:rPr>
        <w:t>) using the formula below:</w:t>
      </w:r>
    </w:p>
    <w:p w14:paraId="7330ABD0" w14:textId="77777777" w:rsidR="00CF41F5" w:rsidRPr="008641DA" w:rsidRDefault="008641DA" w:rsidP="00CF41F5">
      <w:pPr>
        <w:pStyle w:val="ListParagraph"/>
        <w:spacing w:after="0" w:line="240" w:lineRule="auto"/>
        <w:rPr>
          <w:rFonts w:eastAsiaTheme="minorEastAsia"/>
          <w:szCs w:val="24"/>
        </w:rPr>
      </w:pPr>
      <m:oMathPara>
        <m:oMath>
          <m:f>
            <m:fPr>
              <m:ctrlPr>
                <w:rPr>
                  <w:rFonts w:ascii="Cambria Math" w:hAnsi="Cambria Math"/>
                  <w:i/>
                  <w:szCs w:val="24"/>
                </w:rPr>
              </m:ctrlPr>
            </m:fPr>
            <m:num>
              <m:r>
                <w:rPr>
                  <w:rFonts w:ascii="Cambria Math" w:hAnsi="Cambria Math"/>
                  <w:szCs w:val="24"/>
                </w:rPr>
                <m:t>Xi-Xf x 1000</m:t>
              </m:r>
            </m:num>
            <m:den>
              <m:r>
                <w:rPr>
                  <w:rFonts w:ascii="Cambria Math" w:hAnsi="Cambria Math"/>
                  <w:szCs w:val="24"/>
                </w:rPr>
                <m:t>t</m:t>
              </m:r>
            </m:den>
          </m:f>
          <m:r>
            <w:rPr>
              <w:rFonts w:ascii="Cambria Math" w:hAnsi="Cambria Math"/>
              <w:szCs w:val="24"/>
            </w:rPr>
            <m:t>=flowrate</m:t>
          </m:r>
        </m:oMath>
      </m:oMathPara>
    </w:p>
    <w:p w14:paraId="2D3C32A4" w14:textId="77777777" w:rsidR="009D5D53" w:rsidRPr="008641DA" w:rsidRDefault="009D5D53" w:rsidP="00CF41F5">
      <w:pPr>
        <w:pStyle w:val="ListParagraph"/>
        <w:spacing w:after="0" w:line="240" w:lineRule="auto"/>
        <w:rPr>
          <w:szCs w:val="24"/>
        </w:rPr>
      </w:pPr>
      <w:r w:rsidRPr="008641DA">
        <w:rPr>
          <w:rFonts w:eastAsiaTheme="minorEastAsia"/>
          <w:szCs w:val="24"/>
        </w:rPr>
        <w:t xml:space="preserve">Where </w:t>
      </w:r>
      <w:r w:rsidRPr="008641DA">
        <w:rPr>
          <w:rFonts w:eastAsiaTheme="minorEastAsia"/>
          <w:i/>
          <w:szCs w:val="24"/>
        </w:rPr>
        <w:t>Xi</w:t>
      </w:r>
      <w:r w:rsidRPr="008641DA">
        <w:rPr>
          <w:rFonts w:eastAsiaTheme="minorEastAsia"/>
          <w:szCs w:val="24"/>
        </w:rPr>
        <w:t xml:space="preserve"> = initial weight, </w:t>
      </w:r>
      <w:proofErr w:type="spellStart"/>
      <w:r w:rsidRPr="008641DA">
        <w:rPr>
          <w:rFonts w:eastAsiaTheme="minorEastAsia"/>
          <w:i/>
          <w:szCs w:val="24"/>
        </w:rPr>
        <w:t>Xf</w:t>
      </w:r>
      <w:proofErr w:type="spellEnd"/>
      <w:r w:rsidRPr="008641DA">
        <w:rPr>
          <w:rFonts w:eastAsiaTheme="minorEastAsia"/>
          <w:i/>
          <w:szCs w:val="24"/>
        </w:rPr>
        <w:t xml:space="preserve"> </w:t>
      </w:r>
      <w:r w:rsidRPr="008641DA">
        <w:rPr>
          <w:rFonts w:eastAsiaTheme="minorEastAsia"/>
          <w:szCs w:val="24"/>
        </w:rPr>
        <w:t xml:space="preserve">= final weight, </w:t>
      </w:r>
      <w:r w:rsidRPr="008641DA">
        <w:rPr>
          <w:rFonts w:eastAsiaTheme="minorEastAsia"/>
          <w:i/>
          <w:szCs w:val="24"/>
        </w:rPr>
        <w:t>t</w:t>
      </w:r>
      <w:r w:rsidRPr="008641DA">
        <w:rPr>
          <w:rFonts w:eastAsiaTheme="minorEastAsia"/>
          <w:szCs w:val="24"/>
        </w:rPr>
        <w:t xml:space="preserve"> = time</w:t>
      </w:r>
    </w:p>
    <w:p w14:paraId="796F7C97" w14:textId="77777777" w:rsidR="009D5D53" w:rsidRPr="008641DA" w:rsidRDefault="009D5D53" w:rsidP="009D5D53">
      <w:pPr>
        <w:spacing w:after="0" w:line="240" w:lineRule="auto"/>
        <w:rPr>
          <w:b/>
          <w:szCs w:val="24"/>
        </w:rPr>
      </w:pPr>
      <w:r w:rsidRPr="008641DA">
        <w:rPr>
          <w:b/>
          <w:szCs w:val="24"/>
        </w:rPr>
        <w:t>Enumeration of Viruses within Sputum</w:t>
      </w:r>
    </w:p>
    <w:p w14:paraId="450BA3D7" w14:textId="77777777" w:rsidR="009D5D53" w:rsidRPr="008641DA" w:rsidRDefault="009D5D53" w:rsidP="009D5D53">
      <w:pPr>
        <w:pStyle w:val="ListParagraph"/>
        <w:numPr>
          <w:ilvl w:val="0"/>
          <w:numId w:val="7"/>
        </w:numPr>
        <w:spacing w:after="0" w:line="240" w:lineRule="auto"/>
        <w:rPr>
          <w:szCs w:val="24"/>
        </w:rPr>
      </w:pPr>
      <w:r w:rsidRPr="008641DA">
        <w:rPr>
          <w:szCs w:val="24"/>
        </w:rPr>
        <w:t>Turn on the heat block and set one side to 80°C and the other side to 35°C.</w:t>
      </w:r>
    </w:p>
    <w:p w14:paraId="6A995A07" w14:textId="77777777" w:rsidR="009D5D53" w:rsidRPr="008641DA" w:rsidRDefault="009D5D53" w:rsidP="009D5D53">
      <w:pPr>
        <w:pStyle w:val="ListParagraph"/>
        <w:numPr>
          <w:ilvl w:val="0"/>
          <w:numId w:val="7"/>
        </w:numPr>
        <w:spacing w:after="0" w:line="240" w:lineRule="auto"/>
        <w:rPr>
          <w:szCs w:val="24"/>
        </w:rPr>
      </w:pPr>
      <w:r w:rsidRPr="008641DA">
        <w:rPr>
          <w:szCs w:val="24"/>
        </w:rPr>
        <w:t xml:space="preserve">Allow the SYBR Green I working solution to thaw a RT in the dark. </w:t>
      </w:r>
    </w:p>
    <w:p w14:paraId="181FA01A" w14:textId="77777777" w:rsidR="009D5D53" w:rsidRPr="008641DA" w:rsidRDefault="009D5D53" w:rsidP="009D5D53">
      <w:pPr>
        <w:pStyle w:val="ListParagraph"/>
        <w:numPr>
          <w:ilvl w:val="0"/>
          <w:numId w:val="7"/>
        </w:numPr>
        <w:spacing w:after="0" w:line="240" w:lineRule="auto"/>
        <w:rPr>
          <w:szCs w:val="24"/>
        </w:rPr>
      </w:pPr>
      <w:r w:rsidRPr="008641DA">
        <w:rPr>
          <w:szCs w:val="24"/>
        </w:rPr>
        <w:t>Choose sputum samples that are roughly 2mL in volume</w:t>
      </w:r>
      <w:r w:rsidR="00B602FC" w:rsidRPr="008641DA">
        <w:rPr>
          <w:szCs w:val="24"/>
        </w:rPr>
        <w:t xml:space="preserve"> and aliquot each sample into its own 15mL conical. Add 2mL of Sputasol (dithiothreitol) to each sample for a 1:1 mixture. </w:t>
      </w:r>
    </w:p>
    <w:p w14:paraId="104DCBF5" w14:textId="77777777" w:rsidR="00B602FC" w:rsidRPr="008641DA" w:rsidRDefault="00B602FC" w:rsidP="009D5D53">
      <w:pPr>
        <w:pStyle w:val="ListParagraph"/>
        <w:numPr>
          <w:ilvl w:val="0"/>
          <w:numId w:val="7"/>
        </w:numPr>
        <w:spacing w:after="0" w:line="240" w:lineRule="auto"/>
        <w:rPr>
          <w:szCs w:val="24"/>
        </w:rPr>
      </w:pPr>
      <w:r w:rsidRPr="008641DA">
        <w:rPr>
          <w:szCs w:val="24"/>
        </w:rPr>
        <w:t xml:space="preserve">Incubate the mixture at 37°C for 15 minutes. The resulting mixture should be visibly homogenous. </w:t>
      </w:r>
    </w:p>
    <w:p w14:paraId="1396268F" w14:textId="77777777" w:rsidR="00B602FC" w:rsidRPr="008641DA" w:rsidRDefault="00511BF9" w:rsidP="009D5D53">
      <w:pPr>
        <w:pStyle w:val="ListParagraph"/>
        <w:numPr>
          <w:ilvl w:val="0"/>
          <w:numId w:val="7"/>
        </w:numPr>
        <w:spacing w:after="0" w:line="240" w:lineRule="auto"/>
        <w:rPr>
          <w:szCs w:val="24"/>
        </w:rPr>
      </w:pPr>
      <w:r w:rsidRPr="008641DA">
        <w:rPr>
          <w:szCs w:val="24"/>
        </w:rPr>
        <w:t>Dilute ea</w:t>
      </w:r>
      <w:r w:rsidR="0054758A" w:rsidRPr="008641DA">
        <w:rPr>
          <w:szCs w:val="24"/>
        </w:rPr>
        <w:t>ch sample 1:100 in TE: adding 50</w:t>
      </w:r>
      <w:r w:rsidR="00B602FC" w:rsidRPr="008641DA">
        <w:rPr>
          <w:szCs w:val="24"/>
        </w:rPr>
        <w:t>µ</w:t>
      </w:r>
      <w:r w:rsidR="0054758A" w:rsidRPr="008641DA">
        <w:rPr>
          <w:szCs w:val="24"/>
        </w:rPr>
        <w:t>L of sputum sample into 4,950</w:t>
      </w:r>
      <w:r w:rsidRPr="008641DA">
        <w:rPr>
          <w:szCs w:val="24"/>
        </w:rPr>
        <w:t>µ</w:t>
      </w:r>
      <w:r w:rsidR="00B602FC" w:rsidRPr="008641DA">
        <w:rPr>
          <w:szCs w:val="24"/>
        </w:rPr>
        <w:t>L TE.</w:t>
      </w:r>
    </w:p>
    <w:p w14:paraId="02520A67" w14:textId="77777777" w:rsidR="00B602FC" w:rsidRPr="008641DA" w:rsidRDefault="00A631BD" w:rsidP="009D5D53">
      <w:pPr>
        <w:pStyle w:val="ListParagraph"/>
        <w:numPr>
          <w:ilvl w:val="0"/>
          <w:numId w:val="7"/>
        </w:numPr>
        <w:spacing w:after="0" w:line="240" w:lineRule="auto"/>
        <w:rPr>
          <w:szCs w:val="24"/>
        </w:rPr>
      </w:pPr>
      <w:r w:rsidRPr="008641DA">
        <w:rPr>
          <w:szCs w:val="24"/>
        </w:rPr>
        <w:t>Remove 1ml of the resulting mixture and filter through a 0.02µm pore-size filter into a sterile 1.5mL microcentrifuge tube.</w:t>
      </w:r>
    </w:p>
    <w:p w14:paraId="2065CBB7" w14:textId="77777777" w:rsidR="00C711A3" w:rsidRPr="008641DA" w:rsidRDefault="00C711A3" w:rsidP="009D5D53">
      <w:pPr>
        <w:pStyle w:val="ListParagraph"/>
        <w:numPr>
          <w:ilvl w:val="0"/>
          <w:numId w:val="7"/>
        </w:numPr>
        <w:spacing w:after="0" w:line="240" w:lineRule="auto"/>
        <w:rPr>
          <w:szCs w:val="24"/>
        </w:rPr>
      </w:pPr>
      <w:r w:rsidRPr="008641DA">
        <w:rPr>
          <w:szCs w:val="24"/>
        </w:rPr>
        <w:t>Add 5µL working stock of beads</w:t>
      </w:r>
      <w:r w:rsidR="00BA7D18" w:rsidRPr="008641DA">
        <w:rPr>
          <w:szCs w:val="24"/>
        </w:rPr>
        <w:t xml:space="preserve"> (</w:t>
      </w:r>
      <w:proofErr w:type="spellStart"/>
      <w:r w:rsidR="00BA7D18" w:rsidRPr="008641DA">
        <w:rPr>
          <w:szCs w:val="24"/>
        </w:rPr>
        <w:t>FluoSpheres</w:t>
      </w:r>
      <w:proofErr w:type="spellEnd"/>
      <w:r w:rsidR="00BA7D18" w:rsidRPr="008641DA">
        <w:rPr>
          <w:szCs w:val="24"/>
        </w:rPr>
        <w:t xml:space="preserve"> carboxylate-modified microspheres, 1µm, yellow-green fluorescent)</w:t>
      </w:r>
      <w:r w:rsidR="00D315C9" w:rsidRPr="008641DA">
        <w:rPr>
          <w:szCs w:val="24"/>
        </w:rPr>
        <w:t xml:space="preserve"> to the 1mL</w:t>
      </w:r>
      <w:r w:rsidR="00341C33" w:rsidRPr="008641DA">
        <w:rPr>
          <w:szCs w:val="24"/>
        </w:rPr>
        <w:t xml:space="preserve"> sample.</w:t>
      </w:r>
      <w:r w:rsidR="0054758A" w:rsidRPr="008641DA">
        <w:rPr>
          <w:szCs w:val="24"/>
        </w:rPr>
        <w:t xml:space="preserve"> (final concentration = 10</w:t>
      </w:r>
      <w:r w:rsidR="0054758A" w:rsidRPr="008641DA">
        <w:rPr>
          <w:szCs w:val="24"/>
          <w:vertAlign w:val="superscript"/>
        </w:rPr>
        <w:t>5</w:t>
      </w:r>
      <w:r w:rsidR="0054758A" w:rsidRPr="008641DA">
        <w:rPr>
          <w:szCs w:val="24"/>
        </w:rPr>
        <w:t xml:space="preserve"> beads ml</w:t>
      </w:r>
      <w:r w:rsidR="0054758A" w:rsidRPr="008641DA">
        <w:rPr>
          <w:szCs w:val="24"/>
          <w:vertAlign w:val="superscript"/>
        </w:rPr>
        <w:t>-1</w:t>
      </w:r>
      <w:r w:rsidR="0054758A" w:rsidRPr="008641DA">
        <w:rPr>
          <w:szCs w:val="24"/>
        </w:rPr>
        <w:t>)</w:t>
      </w:r>
    </w:p>
    <w:p w14:paraId="7C44EB18" w14:textId="77777777" w:rsidR="00341C33" w:rsidRPr="008641DA" w:rsidRDefault="00341C33" w:rsidP="009D5D53">
      <w:pPr>
        <w:pStyle w:val="ListParagraph"/>
        <w:numPr>
          <w:ilvl w:val="0"/>
          <w:numId w:val="7"/>
        </w:numPr>
        <w:spacing w:after="0" w:line="240" w:lineRule="auto"/>
        <w:rPr>
          <w:szCs w:val="24"/>
        </w:rPr>
      </w:pPr>
      <w:r w:rsidRPr="008641DA">
        <w:rPr>
          <w:szCs w:val="24"/>
        </w:rPr>
        <w:t xml:space="preserve">Mix the working stock of SYBR Green I well, spin briefly in a microcentrifuge, </w:t>
      </w:r>
      <w:r w:rsidR="00D315C9" w:rsidRPr="008641DA">
        <w:rPr>
          <w:szCs w:val="24"/>
        </w:rPr>
        <w:t>and add 111</w:t>
      </w:r>
      <w:r w:rsidR="00780925" w:rsidRPr="008641DA">
        <w:rPr>
          <w:szCs w:val="24"/>
        </w:rPr>
        <w:t xml:space="preserve">µL to the sample. </w:t>
      </w:r>
      <w:r w:rsidR="00D315C9" w:rsidRPr="008641DA">
        <w:rPr>
          <w:szCs w:val="24"/>
        </w:rPr>
        <w:t>(final dilution = 1:20,000)</w:t>
      </w:r>
    </w:p>
    <w:p w14:paraId="7AFBF0BA" w14:textId="77777777" w:rsidR="00780925" w:rsidRPr="008641DA" w:rsidRDefault="00780925" w:rsidP="009D5D53">
      <w:pPr>
        <w:pStyle w:val="ListParagraph"/>
        <w:numPr>
          <w:ilvl w:val="0"/>
          <w:numId w:val="7"/>
        </w:numPr>
        <w:spacing w:after="0" w:line="240" w:lineRule="auto"/>
        <w:rPr>
          <w:szCs w:val="24"/>
        </w:rPr>
      </w:pPr>
      <w:r w:rsidRPr="008641DA">
        <w:rPr>
          <w:szCs w:val="24"/>
        </w:rPr>
        <w:t>Incubate the samples at 80°C in the dark for 10min, after which the samples should be allowed to cool in the dark for 5 min before analysis.</w:t>
      </w:r>
    </w:p>
    <w:p w14:paraId="2E4EF6E6" w14:textId="77777777" w:rsidR="00780925" w:rsidRPr="008641DA" w:rsidRDefault="00780925" w:rsidP="009D5D53">
      <w:pPr>
        <w:pStyle w:val="ListParagraph"/>
        <w:numPr>
          <w:ilvl w:val="0"/>
          <w:numId w:val="7"/>
        </w:numPr>
        <w:spacing w:after="0" w:line="240" w:lineRule="auto"/>
        <w:rPr>
          <w:szCs w:val="24"/>
        </w:rPr>
      </w:pPr>
      <w:r w:rsidRPr="008641DA">
        <w:rPr>
          <w:caps/>
          <w:szCs w:val="24"/>
        </w:rPr>
        <w:t>Acquisition</w:t>
      </w:r>
      <w:r w:rsidRPr="008641DA">
        <w:rPr>
          <w:szCs w:val="24"/>
        </w:rPr>
        <w:t xml:space="preserve">: using </w:t>
      </w:r>
      <w:proofErr w:type="spellStart"/>
      <w:r w:rsidRPr="008641DA">
        <w:rPr>
          <w:szCs w:val="24"/>
        </w:rPr>
        <w:t>MilliQ</w:t>
      </w:r>
      <w:proofErr w:type="spellEnd"/>
      <w:r w:rsidRPr="008641DA">
        <w:rPr>
          <w:szCs w:val="24"/>
        </w:rPr>
        <w:t xml:space="preserve"> as sheath fluid, run the sample at an event rate below 1000 events s</w:t>
      </w:r>
      <w:r w:rsidRPr="008641DA">
        <w:rPr>
          <w:szCs w:val="24"/>
          <w:vertAlign w:val="superscript"/>
        </w:rPr>
        <w:t>-1</w:t>
      </w:r>
      <w:r w:rsidRPr="008641DA">
        <w:rPr>
          <w:szCs w:val="24"/>
        </w:rPr>
        <w:t>, at a flow rate between 20 and 50µL min</w:t>
      </w:r>
      <w:r w:rsidRPr="008641DA">
        <w:rPr>
          <w:szCs w:val="24"/>
          <w:vertAlign w:val="superscript"/>
        </w:rPr>
        <w:t>-1</w:t>
      </w:r>
      <w:r w:rsidRPr="008641DA">
        <w:rPr>
          <w:szCs w:val="24"/>
        </w:rPr>
        <w:t xml:space="preserve"> for 1-2 minutes. Before beginning data acquisition, make sure the discriminator is set on green fluorescence and the voltage level is such that no significant electronic noise is generated. Wait for the sample flow rate to stabilize before allowing acquisition of the data; typically after 15s. </w:t>
      </w:r>
    </w:p>
    <w:p w14:paraId="26629B9D" w14:textId="77777777" w:rsidR="00780925" w:rsidRPr="008641DA" w:rsidRDefault="00780925" w:rsidP="009D5D53">
      <w:pPr>
        <w:pStyle w:val="ListParagraph"/>
        <w:numPr>
          <w:ilvl w:val="0"/>
          <w:numId w:val="7"/>
        </w:numPr>
        <w:spacing w:after="0" w:line="240" w:lineRule="auto"/>
        <w:rPr>
          <w:szCs w:val="24"/>
        </w:rPr>
      </w:pPr>
      <w:r w:rsidRPr="008641DA">
        <w:rPr>
          <w:szCs w:val="24"/>
        </w:rPr>
        <w:t>Wipe the sample needle with moist tissue between each analysis to reduce contamination.</w:t>
      </w:r>
    </w:p>
    <w:p w14:paraId="2FF8A982" w14:textId="77777777" w:rsidR="00780925" w:rsidRPr="008641DA" w:rsidRDefault="00780925" w:rsidP="009D5D53">
      <w:pPr>
        <w:pStyle w:val="ListParagraph"/>
        <w:numPr>
          <w:ilvl w:val="0"/>
          <w:numId w:val="7"/>
        </w:numPr>
        <w:spacing w:after="0" w:line="240" w:lineRule="auto"/>
        <w:rPr>
          <w:szCs w:val="24"/>
        </w:rPr>
      </w:pPr>
      <w:r w:rsidRPr="008641DA">
        <w:rPr>
          <w:szCs w:val="24"/>
        </w:rPr>
        <w:lastRenderedPageBreak/>
        <w:t xml:space="preserve">ANALYSIS: Viruses are discriminated on the basis of the scatter and fluorescence obtained after staining; green fluorescence vs SSC. Correct the raw data for the blank (background noise) before calculating the total virus abundance per ml talking into account the dilution factor. </w:t>
      </w:r>
    </w:p>
    <w:p w14:paraId="718BA109" w14:textId="77777777" w:rsidR="0054758A" w:rsidRPr="008641DA" w:rsidRDefault="0054758A" w:rsidP="0054758A">
      <w:pPr>
        <w:spacing w:after="0" w:line="240" w:lineRule="auto"/>
        <w:rPr>
          <w:szCs w:val="24"/>
        </w:rPr>
      </w:pPr>
    </w:p>
    <w:p w14:paraId="14ADDB0C" w14:textId="77777777" w:rsidR="0054758A" w:rsidRPr="008641DA" w:rsidRDefault="0054758A" w:rsidP="0054758A">
      <w:pPr>
        <w:spacing w:after="0" w:line="240" w:lineRule="auto"/>
        <w:rPr>
          <w:smallCaps/>
          <w:szCs w:val="24"/>
        </w:rPr>
      </w:pPr>
      <w:r w:rsidRPr="008641DA">
        <w:rPr>
          <w:smallCaps/>
          <w:szCs w:val="24"/>
        </w:rPr>
        <w:t>Notes:</w:t>
      </w:r>
    </w:p>
    <w:sectPr w:rsidR="0054758A" w:rsidRPr="008641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31F93" w14:textId="77777777" w:rsidR="00517771" w:rsidRDefault="00517771" w:rsidP="00517771">
      <w:pPr>
        <w:spacing w:after="0" w:line="240" w:lineRule="auto"/>
      </w:pPr>
      <w:r>
        <w:separator/>
      </w:r>
    </w:p>
  </w:endnote>
  <w:endnote w:type="continuationSeparator" w:id="0">
    <w:p w14:paraId="4845AB8A" w14:textId="77777777" w:rsidR="00517771" w:rsidRDefault="00517771" w:rsidP="00517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CC96C" w14:textId="77777777" w:rsidR="00517771" w:rsidRDefault="00517771" w:rsidP="00517771">
      <w:pPr>
        <w:spacing w:after="0" w:line="240" w:lineRule="auto"/>
      </w:pPr>
      <w:r>
        <w:separator/>
      </w:r>
    </w:p>
  </w:footnote>
  <w:footnote w:type="continuationSeparator" w:id="0">
    <w:p w14:paraId="2114E5D2" w14:textId="77777777" w:rsidR="00517771" w:rsidRDefault="00517771" w:rsidP="00517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A81D" w14:textId="24B304E8" w:rsidR="00517771" w:rsidRDefault="00517771">
    <w:pPr>
      <w:pStyle w:val="Header"/>
    </w:pPr>
    <w:r>
      <w:t>Kelly Lab, LLC October 2019</w:t>
    </w:r>
    <w:r w:rsidR="009827A2">
      <w:t xml:space="preserve">; protocol adapted from </w:t>
    </w:r>
    <w:proofErr w:type="spellStart"/>
    <w:r w:rsidR="009827A2">
      <w:t>Brussaard</w:t>
    </w:r>
    <w:proofErr w:type="spellEnd"/>
    <w:r w:rsidR="009827A2">
      <w:t>, C. 2009; Springer</w:t>
    </w:r>
    <w:r w:rsidR="0098024D">
      <w:t xml:space="preserve"> </w:t>
    </w:r>
  </w:p>
  <w:p w14:paraId="3154209A" w14:textId="77777777" w:rsidR="00517771" w:rsidRDefault="00517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344A"/>
    <w:multiLevelType w:val="hybridMultilevel"/>
    <w:tmpl w:val="9820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73557"/>
    <w:multiLevelType w:val="hybridMultilevel"/>
    <w:tmpl w:val="662C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804"/>
    <w:multiLevelType w:val="hybridMultilevel"/>
    <w:tmpl w:val="AF189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012B7"/>
    <w:multiLevelType w:val="hybridMultilevel"/>
    <w:tmpl w:val="CF8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014C1"/>
    <w:multiLevelType w:val="hybridMultilevel"/>
    <w:tmpl w:val="13E2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B14AE"/>
    <w:multiLevelType w:val="hybridMultilevel"/>
    <w:tmpl w:val="5B5E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D572F"/>
    <w:multiLevelType w:val="hybridMultilevel"/>
    <w:tmpl w:val="CF84B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E65EE"/>
    <w:multiLevelType w:val="hybridMultilevel"/>
    <w:tmpl w:val="8C48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71"/>
    <w:rsid w:val="000030B0"/>
    <w:rsid w:val="0011508C"/>
    <w:rsid w:val="00341C33"/>
    <w:rsid w:val="00511BF9"/>
    <w:rsid w:val="00517771"/>
    <w:rsid w:val="0054758A"/>
    <w:rsid w:val="005C0B1F"/>
    <w:rsid w:val="005C0B4C"/>
    <w:rsid w:val="00692427"/>
    <w:rsid w:val="006C58BF"/>
    <w:rsid w:val="00780925"/>
    <w:rsid w:val="008641DA"/>
    <w:rsid w:val="008727B8"/>
    <w:rsid w:val="0098024D"/>
    <w:rsid w:val="009827A2"/>
    <w:rsid w:val="009D5D53"/>
    <w:rsid w:val="00A631BD"/>
    <w:rsid w:val="00A841BC"/>
    <w:rsid w:val="00B602FC"/>
    <w:rsid w:val="00BA7D18"/>
    <w:rsid w:val="00C711A3"/>
    <w:rsid w:val="00CF41F5"/>
    <w:rsid w:val="00D315C9"/>
    <w:rsid w:val="00D657E5"/>
    <w:rsid w:val="00E0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39BC"/>
  <w15:chartTrackingRefBased/>
  <w15:docId w15:val="{F4CD359D-6C90-4470-A22D-7000CC1D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771"/>
  </w:style>
  <w:style w:type="paragraph" w:styleId="Footer">
    <w:name w:val="footer"/>
    <w:basedOn w:val="Normal"/>
    <w:link w:val="FooterChar"/>
    <w:uiPriority w:val="99"/>
    <w:unhideWhenUsed/>
    <w:rsid w:val="0051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771"/>
  </w:style>
  <w:style w:type="paragraph" w:styleId="ListParagraph">
    <w:name w:val="List Paragraph"/>
    <w:basedOn w:val="Normal"/>
    <w:uiPriority w:val="34"/>
    <w:qFormat/>
    <w:rsid w:val="00517771"/>
    <w:pPr>
      <w:ind w:left="720"/>
      <w:contextualSpacing/>
    </w:pPr>
  </w:style>
  <w:style w:type="paragraph" w:styleId="BalloonText">
    <w:name w:val="Balloon Text"/>
    <w:basedOn w:val="Normal"/>
    <w:link w:val="BalloonTextChar"/>
    <w:uiPriority w:val="99"/>
    <w:semiHidden/>
    <w:unhideWhenUsed/>
    <w:rsid w:val="00511B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BF9"/>
    <w:rPr>
      <w:rFonts w:ascii="Segoe UI" w:hAnsi="Segoe UI" w:cs="Segoe UI"/>
      <w:sz w:val="18"/>
      <w:szCs w:val="18"/>
    </w:rPr>
  </w:style>
  <w:style w:type="character" w:styleId="CommentReference">
    <w:name w:val="annotation reference"/>
    <w:basedOn w:val="DefaultParagraphFont"/>
    <w:uiPriority w:val="99"/>
    <w:semiHidden/>
    <w:unhideWhenUsed/>
    <w:rsid w:val="0054758A"/>
    <w:rPr>
      <w:sz w:val="16"/>
      <w:szCs w:val="16"/>
    </w:rPr>
  </w:style>
  <w:style w:type="paragraph" w:styleId="CommentText">
    <w:name w:val="annotation text"/>
    <w:basedOn w:val="Normal"/>
    <w:link w:val="CommentTextChar"/>
    <w:uiPriority w:val="99"/>
    <w:semiHidden/>
    <w:unhideWhenUsed/>
    <w:rsid w:val="0054758A"/>
    <w:pPr>
      <w:spacing w:line="240" w:lineRule="auto"/>
    </w:pPr>
    <w:rPr>
      <w:sz w:val="20"/>
      <w:szCs w:val="20"/>
    </w:rPr>
  </w:style>
  <w:style w:type="character" w:customStyle="1" w:styleId="CommentTextChar">
    <w:name w:val="Comment Text Char"/>
    <w:basedOn w:val="DefaultParagraphFont"/>
    <w:link w:val="CommentText"/>
    <w:uiPriority w:val="99"/>
    <w:semiHidden/>
    <w:rsid w:val="0054758A"/>
    <w:rPr>
      <w:sz w:val="20"/>
      <w:szCs w:val="20"/>
    </w:rPr>
  </w:style>
  <w:style w:type="paragraph" w:styleId="CommentSubject">
    <w:name w:val="annotation subject"/>
    <w:basedOn w:val="CommentText"/>
    <w:next w:val="CommentText"/>
    <w:link w:val="CommentSubjectChar"/>
    <w:uiPriority w:val="99"/>
    <w:semiHidden/>
    <w:unhideWhenUsed/>
    <w:rsid w:val="0054758A"/>
    <w:rPr>
      <w:b/>
      <w:bCs/>
    </w:rPr>
  </w:style>
  <w:style w:type="character" w:customStyle="1" w:styleId="CommentSubjectChar">
    <w:name w:val="Comment Subject Char"/>
    <w:basedOn w:val="CommentTextChar"/>
    <w:link w:val="CommentSubject"/>
    <w:uiPriority w:val="99"/>
    <w:semiHidden/>
    <w:rsid w:val="005475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5990</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2019-11-12T17:56:00Z</cp:lastPrinted>
  <dcterms:created xsi:type="dcterms:W3CDTF">2019-10-21T18:37:00Z</dcterms:created>
  <dcterms:modified xsi:type="dcterms:W3CDTF">2019-11-12T17:57:00Z</dcterms:modified>
</cp:coreProperties>
</file>