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9AF0" w14:textId="77777777" w:rsidR="00FD7B89" w:rsidRDefault="00FD7B89" w:rsidP="00FD7B89">
      <w:pPr>
        <w:pBdr>
          <w:top w:val="single" w:sz="4" w:space="1" w:color="auto"/>
          <w:left w:val="single" w:sz="4" w:space="4" w:color="auto"/>
          <w:bottom w:val="single" w:sz="4" w:space="1" w:color="auto"/>
          <w:right w:val="single" w:sz="4" w:space="4" w:color="auto"/>
        </w:pBdr>
        <w:shd w:val="clear" w:color="auto" w:fill="FFFFFF"/>
        <w:jc w:val="center"/>
        <w:outlineLvl w:val="0"/>
        <w:rPr>
          <w:b/>
          <w:kern w:val="36"/>
          <w:sz w:val="40"/>
          <w:szCs w:val="54"/>
        </w:rPr>
      </w:pPr>
      <w:r w:rsidRPr="00A6001A">
        <w:rPr>
          <w:b/>
          <w:kern w:val="36"/>
          <w:sz w:val="40"/>
          <w:szCs w:val="54"/>
        </w:rPr>
        <w:t xml:space="preserve">Politique de confidentialité </w:t>
      </w:r>
    </w:p>
    <w:p w14:paraId="10D3CD85" w14:textId="2F7D800F" w:rsidR="00FD7B89" w:rsidRPr="00A6001A" w:rsidRDefault="00FD7B89" w:rsidP="00FD7B89">
      <w:pPr>
        <w:pBdr>
          <w:top w:val="single" w:sz="4" w:space="1" w:color="auto"/>
          <w:left w:val="single" w:sz="4" w:space="4" w:color="auto"/>
          <w:bottom w:val="single" w:sz="4" w:space="1" w:color="auto"/>
          <w:right w:val="single" w:sz="4" w:space="4" w:color="auto"/>
        </w:pBdr>
        <w:shd w:val="clear" w:color="auto" w:fill="FFFFFF"/>
        <w:jc w:val="center"/>
        <w:outlineLvl w:val="0"/>
        <w:rPr>
          <w:b/>
          <w:kern w:val="36"/>
          <w:sz w:val="40"/>
          <w:szCs w:val="54"/>
        </w:rPr>
      </w:pPr>
      <w:proofErr w:type="gramStart"/>
      <w:r>
        <w:rPr>
          <w:b/>
          <w:kern w:val="36"/>
          <w:sz w:val="40"/>
          <w:szCs w:val="54"/>
        </w:rPr>
        <w:t>de</w:t>
      </w:r>
      <w:proofErr w:type="gramEnd"/>
      <w:r w:rsidR="00C3768A">
        <w:rPr>
          <w:b/>
          <w:kern w:val="36"/>
          <w:sz w:val="40"/>
          <w:szCs w:val="54"/>
        </w:rPr>
        <w:t xml:space="preserve"> </w:t>
      </w:r>
      <w:r w:rsidR="00FF18A1">
        <w:rPr>
          <w:b/>
          <w:kern w:val="36"/>
          <w:sz w:val="40"/>
          <w:szCs w:val="54"/>
        </w:rPr>
        <w:t>N</w:t>
      </w:r>
      <w:r w:rsidR="00C3768A">
        <w:rPr>
          <w:b/>
          <w:kern w:val="36"/>
          <w:sz w:val="40"/>
          <w:szCs w:val="54"/>
        </w:rPr>
        <w:t>os</w:t>
      </w:r>
      <w:r w:rsidR="00B054F0">
        <w:rPr>
          <w:b/>
          <w:kern w:val="36"/>
          <w:sz w:val="40"/>
          <w:szCs w:val="54"/>
        </w:rPr>
        <w:t xml:space="preserve"> G</w:t>
      </w:r>
      <w:r w:rsidR="00C3768A">
        <w:rPr>
          <w:b/>
          <w:kern w:val="36"/>
          <w:sz w:val="40"/>
          <w:szCs w:val="54"/>
        </w:rPr>
        <w:t>estes</w:t>
      </w:r>
      <w:r w:rsidR="00B054F0">
        <w:rPr>
          <w:b/>
          <w:kern w:val="36"/>
          <w:sz w:val="40"/>
          <w:szCs w:val="54"/>
        </w:rPr>
        <w:t xml:space="preserve"> C</w:t>
      </w:r>
      <w:r w:rsidR="00C3768A">
        <w:rPr>
          <w:b/>
          <w:kern w:val="36"/>
          <w:sz w:val="40"/>
          <w:szCs w:val="54"/>
        </w:rPr>
        <w:t>limat</w:t>
      </w:r>
    </w:p>
    <w:p w14:paraId="28802330" w14:textId="77777777" w:rsidR="00FD7B89" w:rsidRPr="008043F0" w:rsidRDefault="00FD7B89" w:rsidP="00FD7B89">
      <w:pPr>
        <w:rPr>
          <w:sz w:val="28"/>
          <w:szCs w:val="28"/>
        </w:rPr>
      </w:pPr>
    </w:p>
    <w:p w14:paraId="56D2A0EF" w14:textId="77777777" w:rsidR="005C1B64" w:rsidRDefault="005C1B64" w:rsidP="00FD7B89">
      <w:pPr>
        <w:rPr>
          <w:b/>
          <w:sz w:val="36"/>
          <w:szCs w:val="36"/>
        </w:rPr>
      </w:pPr>
    </w:p>
    <w:p w14:paraId="6974C903" w14:textId="77777777" w:rsidR="00FD7B89" w:rsidRPr="006561B5" w:rsidRDefault="00FD7B89" w:rsidP="00FD7B89">
      <w:pPr>
        <w:rPr>
          <w:b/>
          <w:sz w:val="36"/>
          <w:szCs w:val="36"/>
        </w:rPr>
      </w:pPr>
      <w:r w:rsidRPr="006561B5">
        <w:rPr>
          <w:b/>
          <w:sz w:val="36"/>
          <w:szCs w:val="36"/>
        </w:rPr>
        <w:t>Traitement des données à caractère personnel</w:t>
      </w:r>
    </w:p>
    <w:p w14:paraId="40507046" w14:textId="77777777" w:rsidR="005C1B64" w:rsidRDefault="005C1B64" w:rsidP="00FD7B89">
      <w:pPr>
        <w:jc w:val="both"/>
      </w:pPr>
    </w:p>
    <w:p w14:paraId="5D591C75" w14:textId="38FD4268" w:rsidR="005C1B64" w:rsidRPr="005C1B64" w:rsidRDefault="00FD7B89" w:rsidP="00AE3027">
      <w:pPr>
        <w:spacing w:before="200" w:line="276" w:lineRule="auto"/>
        <w:jc w:val="both"/>
      </w:pPr>
      <w:r>
        <w:t>La présente plateform</w:t>
      </w:r>
      <w:r w:rsidR="00C3768A">
        <w:t xml:space="preserve">e </w:t>
      </w:r>
      <w:r w:rsidR="00FF18A1">
        <w:t>N</w:t>
      </w:r>
      <w:r w:rsidR="00C3768A">
        <w:t>os</w:t>
      </w:r>
      <w:r w:rsidR="00B054F0">
        <w:t xml:space="preserve"> G</w:t>
      </w:r>
      <w:r w:rsidR="00C3768A">
        <w:t>estes</w:t>
      </w:r>
      <w:r w:rsidR="00B054F0">
        <w:t xml:space="preserve"> C</w:t>
      </w:r>
      <w:r w:rsidR="00C3768A">
        <w:t>limat</w:t>
      </w:r>
      <w:r>
        <w:t xml:space="preserve"> est à l’initiative de </w:t>
      </w:r>
      <w:r w:rsidR="00FF18A1">
        <w:t>l’</w:t>
      </w:r>
      <w:r w:rsidR="00FF18A1" w:rsidRPr="00FF18A1">
        <w:t>Agence de la transition écologique</w:t>
      </w:r>
      <w:r w:rsidR="00FF18A1">
        <w:t xml:space="preserve">, qui est responsable de </w:t>
      </w:r>
      <w:r>
        <w:t>traitement des données à caractère personnel collectées par la plateforme</w:t>
      </w:r>
      <w:r w:rsidR="00FF18A1">
        <w:t xml:space="preserve">. </w:t>
      </w:r>
    </w:p>
    <w:p w14:paraId="3EA5A75F" w14:textId="77777777" w:rsidR="005C1B64" w:rsidRDefault="005C1B64" w:rsidP="00FD7B89">
      <w:pPr>
        <w:rPr>
          <w:b/>
          <w:sz w:val="28"/>
          <w:szCs w:val="28"/>
        </w:rPr>
      </w:pPr>
    </w:p>
    <w:p w14:paraId="7412AC71" w14:textId="77777777" w:rsidR="00FD7B89" w:rsidRPr="006561B5" w:rsidRDefault="00FD7B89" w:rsidP="00FD7B89">
      <w:pPr>
        <w:rPr>
          <w:b/>
          <w:sz w:val="28"/>
          <w:szCs w:val="28"/>
        </w:rPr>
      </w:pPr>
      <w:r w:rsidRPr="006561B5">
        <w:rPr>
          <w:b/>
          <w:sz w:val="28"/>
          <w:szCs w:val="28"/>
        </w:rPr>
        <w:t>Finalités</w:t>
      </w:r>
    </w:p>
    <w:p w14:paraId="0B6E6F74" w14:textId="77777777" w:rsidR="005C1B64" w:rsidRDefault="005C1B64" w:rsidP="00FD7B89">
      <w:pPr>
        <w:jc w:val="both"/>
      </w:pPr>
    </w:p>
    <w:p w14:paraId="4C6D3B21" w14:textId="7361A249" w:rsidR="00FF18A1" w:rsidRDefault="00FD7B89" w:rsidP="00FD7B89">
      <w:pPr>
        <w:jc w:val="both"/>
      </w:pPr>
      <w:r>
        <w:t xml:space="preserve">La plateforme </w:t>
      </w:r>
      <w:r w:rsidR="00FF18A1">
        <w:t>Nos</w:t>
      </w:r>
      <w:r w:rsidR="00B054F0">
        <w:t xml:space="preserve"> G</w:t>
      </w:r>
      <w:r w:rsidR="00FF18A1">
        <w:t>estes</w:t>
      </w:r>
      <w:r w:rsidR="00B054F0">
        <w:t xml:space="preserve"> Cl</w:t>
      </w:r>
      <w:r w:rsidR="00FF18A1">
        <w:t>imat</w:t>
      </w:r>
      <w:r>
        <w:t xml:space="preserve"> </w:t>
      </w:r>
      <w:r w:rsidR="00212773">
        <w:t xml:space="preserve">est un outil </w:t>
      </w:r>
      <w:r w:rsidR="007D1A0C">
        <w:t>permettant de simuler</w:t>
      </w:r>
      <w:r w:rsidR="007D1A0C" w:rsidRPr="007D1A0C">
        <w:t xml:space="preserve"> </w:t>
      </w:r>
      <w:r w:rsidR="007D1A0C">
        <w:t>l’évaluation de</w:t>
      </w:r>
      <w:r w:rsidR="007D1A0C" w:rsidRPr="007D1A0C">
        <w:t xml:space="preserve"> </w:t>
      </w:r>
      <w:r w:rsidR="007D1A0C">
        <w:t>l’</w:t>
      </w:r>
      <w:r w:rsidR="007D1A0C" w:rsidRPr="007D1A0C">
        <w:t>empreinte carbone individuelle annuelle totale et par grandes catégories (alimentation, transport, logement, divers, services publics, numérique), de la situer par rapport aux objectifs climatiques</w:t>
      </w:r>
      <w:r w:rsidR="007D1A0C">
        <w:t>. L</w:t>
      </w:r>
      <w:r w:rsidR="00411525">
        <w:t>es</w:t>
      </w:r>
      <w:r w:rsidR="007D1A0C">
        <w:t xml:space="preserve"> résultats s</w:t>
      </w:r>
      <w:r w:rsidR="00411525">
        <w:t>ont les seules données qui s</w:t>
      </w:r>
      <w:r w:rsidR="007D1A0C">
        <w:t>ont</w:t>
      </w:r>
      <w:r w:rsidR="00411525">
        <w:t xml:space="preserve"> ensuite</w:t>
      </w:r>
      <w:r w:rsidR="007D1A0C">
        <w:t xml:space="preserve"> utilisé</w:t>
      </w:r>
      <w:r w:rsidR="00411525">
        <w:t>es</w:t>
      </w:r>
      <w:r w:rsidR="007D1A0C">
        <w:t xml:space="preserve"> afin de réaliser des statistiques. </w:t>
      </w:r>
    </w:p>
    <w:p w14:paraId="4017A8B0" w14:textId="77777777" w:rsidR="00FF18A1" w:rsidRDefault="00FF18A1" w:rsidP="00FD7B89">
      <w:pPr>
        <w:jc w:val="both"/>
      </w:pPr>
    </w:p>
    <w:p w14:paraId="4D86764F" w14:textId="77777777" w:rsidR="00FD7B89" w:rsidRPr="00411525" w:rsidRDefault="00FD7B89" w:rsidP="00FD7B89">
      <w:pPr>
        <w:rPr>
          <w:b/>
          <w:sz w:val="28"/>
          <w:szCs w:val="28"/>
        </w:rPr>
      </w:pPr>
      <w:r w:rsidRPr="006561B5">
        <w:rPr>
          <w:b/>
          <w:sz w:val="28"/>
          <w:szCs w:val="28"/>
        </w:rPr>
        <w:t xml:space="preserve">Données </w:t>
      </w:r>
      <w:r w:rsidRPr="00411525">
        <w:rPr>
          <w:b/>
          <w:sz w:val="28"/>
          <w:szCs w:val="28"/>
        </w:rPr>
        <w:t>à caractère personnel traitées</w:t>
      </w:r>
    </w:p>
    <w:p w14:paraId="3A759D3A" w14:textId="156930A7" w:rsidR="005C1B64" w:rsidRPr="00411525" w:rsidRDefault="005C1B64" w:rsidP="00FD7B89"/>
    <w:p w14:paraId="5AB01D2B" w14:textId="67583E39" w:rsidR="007D1A0C" w:rsidRPr="00411525" w:rsidRDefault="007D1A0C" w:rsidP="007D1A0C">
      <w:pPr>
        <w:pStyle w:val="Paragraphedeliste"/>
        <w:numPr>
          <w:ilvl w:val="0"/>
          <w:numId w:val="10"/>
        </w:numPr>
        <w:rPr>
          <w:rFonts w:ascii="Times New Roman" w:hAnsi="Times New Roman" w:cs="Times New Roman"/>
          <w:b/>
          <w:bCs/>
          <w:sz w:val="24"/>
          <w:szCs w:val="24"/>
        </w:rPr>
      </w:pPr>
      <w:r w:rsidRPr="00411525">
        <w:rPr>
          <w:rFonts w:ascii="Times New Roman" w:hAnsi="Times New Roman" w:cs="Times New Roman"/>
          <w:b/>
          <w:bCs/>
          <w:sz w:val="24"/>
          <w:szCs w:val="24"/>
        </w:rPr>
        <w:t xml:space="preserve">Données </w:t>
      </w:r>
      <w:r w:rsidR="005F0E40">
        <w:rPr>
          <w:rFonts w:ascii="Times New Roman" w:hAnsi="Times New Roman" w:cs="Times New Roman"/>
          <w:b/>
          <w:bCs/>
          <w:sz w:val="24"/>
          <w:szCs w:val="24"/>
        </w:rPr>
        <w:t>relatives à la</w:t>
      </w:r>
      <w:r w:rsidRPr="00411525">
        <w:rPr>
          <w:rFonts w:ascii="Times New Roman" w:hAnsi="Times New Roman" w:cs="Times New Roman"/>
          <w:b/>
          <w:bCs/>
          <w:sz w:val="24"/>
          <w:szCs w:val="24"/>
        </w:rPr>
        <w:t xml:space="preserve"> simulation</w:t>
      </w:r>
    </w:p>
    <w:p w14:paraId="4956D81C" w14:textId="1083A329" w:rsidR="001330C6" w:rsidRDefault="007D1A0C" w:rsidP="007D1A0C">
      <w:pPr>
        <w:jc w:val="both"/>
      </w:pPr>
      <w:r w:rsidRPr="00411525">
        <w:t>Les données qui sont transmises lors de la simulation sont stockées en local dans le navigateur de l’utilisateur de la plateforme. Elles sont effacées une fois que l’utilisateur quitte la plateform</w:t>
      </w:r>
      <w:r w:rsidR="00411525">
        <w:t xml:space="preserve">e. </w:t>
      </w:r>
      <w:r w:rsidR="001330C6">
        <w:t xml:space="preserve">Dans le cadre de la simulation en groupe, chaque participant se voir attribuer un pseudonyme aléatoire afin de garder l’anonymité. </w:t>
      </w:r>
    </w:p>
    <w:p w14:paraId="110105CA" w14:textId="77777777" w:rsidR="007D1A0C" w:rsidRPr="00411525" w:rsidRDefault="007D1A0C" w:rsidP="007D1A0C">
      <w:pPr>
        <w:jc w:val="both"/>
      </w:pPr>
    </w:p>
    <w:p w14:paraId="1AA54E82" w14:textId="04EB1964" w:rsidR="007D1A0C" w:rsidRDefault="007D1A0C" w:rsidP="00411525">
      <w:pPr>
        <w:jc w:val="both"/>
      </w:pPr>
      <w:r w:rsidRPr="00411525">
        <w:t xml:space="preserve">En ce sens, et selon </w:t>
      </w:r>
      <w:hyperlink r:id="rId5" w:history="1">
        <w:r w:rsidRPr="00411525">
          <w:rPr>
            <w:rStyle w:val="Lienhypertexte"/>
          </w:rPr>
          <w:t>les lignes directrices de la CNIL</w:t>
        </w:r>
      </w:hyperlink>
      <w:r w:rsidRPr="00411525">
        <w:t>, le traitement n’est pas considéré comme un traitement de données à caractère personnel</w:t>
      </w:r>
      <w:r w:rsidR="00411525">
        <w:t>.</w:t>
      </w:r>
    </w:p>
    <w:p w14:paraId="4A39C2A1" w14:textId="77777777" w:rsidR="00411525" w:rsidRPr="00411525" w:rsidRDefault="00411525" w:rsidP="00411525">
      <w:pPr>
        <w:jc w:val="both"/>
      </w:pPr>
    </w:p>
    <w:p w14:paraId="22A097CD" w14:textId="232B94AD" w:rsidR="00411525" w:rsidRPr="00411525" w:rsidRDefault="00411525" w:rsidP="00411525">
      <w:pPr>
        <w:pStyle w:val="Paragraphedeliste"/>
        <w:numPr>
          <w:ilvl w:val="0"/>
          <w:numId w:val="10"/>
        </w:numPr>
        <w:rPr>
          <w:rFonts w:ascii="Times New Roman" w:hAnsi="Times New Roman" w:cs="Times New Roman"/>
          <w:b/>
          <w:bCs/>
          <w:sz w:val="24"/>
          <w:szCs w:val="24"/>
        </w:rPr>
      </w:pPr>
      <w:r w:rsidRPr="00411525">
        <w:rPr>
          <w:rFonts w:ascii="Times New Roman" w:hAnsi="Times New Roman" w:cs="Times New Roman"/>
          <w:b/>
          <w:bCs/>
          <w:sz w:val="24"/>
          <w:szCs w:val="24"/>
        </w:rPr>
        <w:t>Données relatives aux r</w:t>
      </w:r>
      <w:r w:rsidR="007D1A0C" w:rsidRPr="00411525">
        <w:rPr>
          <w:rFonts w:ascii="Times New Roman" w:hAnsi="Times New Roman" w:cs="Times New Roman"/>
          <w:b/>
          <w:bCs/>
          <w:sz w:val="24"/>
          <w:szCs w:val="24"/>
        </w:rPr>
        <w:t>ésultats de la simulation</w:t>
      </w:r>
    </w:p>
    <w:p w14:paraId="3E6EFF3D" w14:textId="77777777" w:rsidR="001330C6" w:rsidRDefault="00411525" w:rsidP="001330C6">
      <w:pPr>
        <w:jc w:val="both"/>
      </w:pPr>
      <w:r>
        <w:t>En particulier, nous suivons l'adresse de la page de fin de simulation,</w:t>
      </w:r>
      <w:r w:rsidR="001330C6">
        <w:t xml:space="preserve"> le nom de la page de conférences,</w:t>
      </w:r>
      <w:r>
        <w:t xml:space="preserve"> qui contient le total de votre empreinte et sa répartition en grande catégories (transport, logement, ...).</w:t>
      </w:r>
      <w:r w:rsidR="001330C6" w:rsidRPr="001330C6">
        <w:t xml:space="preserve"> </w:t>
      </w:r>
    </w:p>
    <w:p w14:paraId="704C55F8" w14:textId="77777777" w:rsidR="001330C6" w:rsidRDefault="001330C6" w:rsidP="001330C6">
      <w:pPr>
        <w:jc w:val="both"/>
      </w:pPr>
    </w:p>
    <w:p w14:paraId="05EC6479" w14:textId="4342AF50" w:rsidR="00411525" w:rsidRDefault="001330C6" w:rsidP="001330C6">
      <w:pPr>
        <w:jc w:val="both"/>
      </w:pPr>
      <w:r>
        <w:t>Dans le cadre de la simulation en groupe, les rés</w:t>
      </w:r>
      <w:r w:rsidRPr="001330C6">
        <w:t xml:space="preserve">ultats </w:t>
      </w:r>
      <w:r>
        <w:t xml:space="preserve">des participants sont </w:t>
      </w:r>
      <w:r w:rsidRPr="001330C6">
        <w:t xml:space="preserve">agrégés avec </w:t>
      </w:r>
      <w:r>
        <w:t>ceux de</w:t>
      </w:r>
      <w:r w:rsidRPr="001330C6">
        <w:t>s autres participants de la conférence : le total et les catégories (transport, logement, etc.).</w:t>
      </w:r>
    </w:p>
    <w:p w14:paraId="58D736FE" w14:textId="77777777" w:rsidR="00411525" w:rsidRDefault="00411525" w:rsidP="00411525"/>
    <w:p w14:paraId="2AC6502A" w14:textId="77777777" w:rsidR="00411525" w:rsidRPr="00411525" w:rsidRDefault="00411525" w:rsidP="00411525"/>
    <w:p w14:paraId="4805E932" w14:textId="701DF277" w:rsidR="007D1A0C" w:rsidRPr="00411525" w:rsidRDefault="007D1A0C" w:rsidP="007D1A0C">
      <w:pPr>
        <w:pStyle w:val="Paragraphedeliste"/>
        <w:numPr>
          <w:ilvl w:val="0"/>
          <w:numId w:val="10"/>
        </w:numPr>
        <w:rPr>
          <w:b/>
          <w:bCs/>
          <w:sz w:val="24"/>
          <w:szCs w:val="24"/>
        </w:rPr>
      </w:pPr>
      <w:r w:rsidRPr="00411525">
        <w:rPr>
          <w:rFonts w:ascii="Times New Roman" w:hAnsi="Times New Roman" w:cs="Times New Roman"/>
          <w:b/>
          <w:bCs/>
          <w:sz w:val="24"/>
          <w:szCs w:val="24"/>
        </w:rPr>
        <w:t>Cookies</w:t>
      </w:r>
    </w:p>
    <w:p w14:paraId="63B003A0" w14:textId="12828563" w:rsidR="007D1A0C" w:rsidRDefault="00411525" w:rsidP="00FD7B89">
      <w:r>
        <w:t xml:space="preserve">Des cookies sont utilisés afin de suivre l’utilisation du simulateur, telles que les pages consultées et le temps passé, dans un objectif d’amélioration de la plateforme. </w:t>
      </w:r>
    </w:p>
    <w:p w14:paraId="6402EF41" w14:textId="77777777" w:rsidR="007D1A0C" w:rsidRDefault="007D1A0C" w:rsidP="00FD7B89"/>
    <w:p w14:paraId="727A976F" w14:textId="77777777" w:rsidR="007D1A0C" w:rsidRDefault="007D1A0C" w:rsidP="00FD7B89"/>
    <w:p w14:paraId="4391D9A8" w14:textId="77777777" w:rsidR="00FD7B89" w:rsidRDefault="00FD7B89" w:rsidP="00FD7B89">
      <w:pPr>
        <w:rPr>
          <w:b/>
          <w:sz w:val="28"/>
          <w:szCs w:val="28"/>
        </w:rPr>
      </w:pPr>
      <w:r w:rsidRPr="006561B5">
        <w:rPr>
          <w:b/>
          <w:sz w:val="28"/>
          <w:szCs w:val="28"/>
        </w:rPr>
        <w:lastRenderedPageBreak/>
        <w:t>Bases juridiques des traitements de données</w:t>
      </w:r>
    </w:p>
    <w:p w14:paraId="4D57C996" w14:textId="77777777" w:rsidR="005C1B64" w:rsidRDefault="005C1B64" w:rsidP="00212773">
      <w:pPr>
        <w:tabs>
          <w:tab w:val="left" w:pos="8121"/>
        </w:tabs>
      </w:pPr>
    </w:p>
    <w:p w14:paraId="3BDD6B3D" w14:textId="77777777" w:rsidR="00212773" w:rsidRDefault="00212773" w:rsidP="00212773">
      <w:pPr>
        <w:tabs>
          <w:tab w:val="left" w:pos="8121"/>
        </w:tabs>
      </w:pPr>
      <w:r>
        <w:t>Les données traitées à l’occasion de ces traitements ont plusieurs fondements juridiques :</w:t>
      </w:r>
    </w:p>
    <w:p w14:paraId="2BAF80BF" w14:textId="516BFEDC" w:rsidR="00411525" w:rsidRPr="00411525" w:rsidRDefault="00411525" w:rsidP="00411525">
      <w:pPr>
        <w:pStyle w:val="Paragraphedeliste"/>
        <w:numPr>
          <w:ilvl w:val="0"/>
          <w:numId w:val="1"/>
        </w:numPr>
        <w:jc w:val="both"/>
        <w:rPr>
          <w:rFonts w:ascii="Times New Roman" w:hAnsi="Times New Roman" w:cs="Times New Roman"/>
          <w:sz w:val="24"/>
          <w:szCs w:val="24"/>
        </w:rPr>
      </w:pPr>
      <w:r w:rsidRPr="00411525">
        <w:rPr>
          <w:rFonts w:ascii="Times New Roman" w:hAnsi="Times New Roman" w:cs="Times New Roman"/>
          <w:sz w:val="24"/>
          <w:szCs w:val="24"/>
        </w:rPr>
        <w:t xml:space="preserve">Le consentement de la personne concernée pour une ou plusieurs finalités spécifiques </w:t>
      </w:r>
      <w:r w:rsidRPr="00411525">
        <w:rPr>
          <w:rFonts w:ascii="Times New Roman" w:hAnsi="Times New Roman" w:cs="Times New Roman"/>
        </w:rPr>
        <w:t>au sens de l’article 6-a du RGPD et en application de l’article 5(3) de la directive 2002/58/CE modifiée ;</w:t>
      </w:r>
    </w:p>
    <w:p w14:paraId="209842B9" w14:textId="3443E4DB" w:rsidR="00212773" w:rsidRDefault="00212773" w:rsidP="00212773">
      <w:pPr>
        <w:pStyle w:val="Paragraphedeliste"/>
        <w:numPr>
          <w:ilvl w:val="0"/>
          <w:numId w:val="1"/>
        </w:numPr>
        <w:jc w:val="both"/>
        <w:rPr>
          <w:rFonts w:ascii="Times New Roman" w:hAnsi="Times New Roman" w:cs="Times New Roman"/>
          <w:sz w:val="24"/>
          <w:szCs w:val="24"/>
        </w:rPr>
      </w:pPr>
      <w:r w:rsidRPr="00411525">
        <w:rPr>
          <w:rFonts w:ascii="Times New Roman" w:hAnsi="Times New Roman" w:cs="Times New Roman"/>
          <w:sz w:val="24"/>
          <w:szCs w:val="24"/>
        </w:rPr>
        <w:t>L’exécution</w:t>
      </w:r>
      <w:r>
        <w:rPr>
          <w:rFonts w:ascii="Times New Roman" w:hAnsi="Times New Roman" w:cs="Times New Roman"/>
          <w:sz w:val="24"/>
          <w:szCs w:val="24"/>
        </w:rPr>
        <w:t xml:space="preserve"> d’une mission d’intérêt public ou relevant de l’exercice de l’autorité publique dont est investi le responsable de traitement au sens de l’article</w:t>
      </w:r>
      <w:r w:rsidRPr="006D2269">
        <w:rPr>
          <w:rFonts w:ascii="Times New Roman" w:hAnsi="Times New Roman" w:cs="Times New Roman"/>
          <w:sz w:val="24"/>
          <w:szCs w:val="24"/>
        </w:rPr>
        <w:t xml:space="preserve"> 6-e</w:t>
      </w:r>
      <w:r>
        <w:rPr>
          <w:rFonts w:ascii="Times New Roman" w:hAnsi="Times New Roman" w:cs="Times New Roman"/>
          <w:sz w:val="24"/>
          <w:szCs w:val="24"/>
        </w:rPr>
        <w:t xml:space="preserve"> du RPGD ;</w:t>
      </w:r>
    </w:p>
    <w:p w14:paraId="3B208B56" w14:textId="77777777" w:rsidR="00212773" w:rsidRDefault="00212773" w:rsidP="00212773">
      <w:pPr>
        <w:jc w:val="both"/>
      </w:pPr>
      <w:r w:rsidRPr="00212773">
        <w:rPr>
          <w:b/>
        </w:rPr>
        <w:t>Ces fondements sont précisés ci-dessous</w:t>
      </w:r>
      <w:r>
        <w:t> :</w:t>
      </w:r>
    </w:p>
    <w:p w14:paraId="6A8E3676" w14:textId="77777777" w:rsidR="00B7534F" w:rsidRPr="00917D98" w:rsidRDefault="00B7534F" w:rsidP="00212773">
      <w:pPr>
        <w:jc w:val="both"/>
      </w:pPr>
    </w:p>
    <w:p w14:paraId="6CCC2CFF" w14:textId="255D7E6D" w:rsidR="00212773" w:rsidRPr="00B5436B" w:rsidRDefault="00411525" w:rsidP="00212773">
      <w:pPr>
        <w:pStyle w:val="Paragraphedeliste"/>
        <w:numPr>
          <w:ilvl w:val="0"/>
          <w:numId w:val="4"/>
        </w:numPr>
        <w:tabs>
          <w:tab w:val="left" w:pos="8121"/>
        </w:tabs>
        <w:rPr>
          <w:rFonts w:ascii="Times New Roman" w:hAnsi="Times New Roman" w:cs="Times New Roman"/>
          <w:b/>
          <w:sz w:val="24"/>
          <w:szCs w:val="24"/>
        </w:rPr>
      </w:pPr>
      <w:r>
        <w:rPr>
          <w:rFonts w:ascii="Times New Roman" w:hAnsi="Times New Roman" w:cs="Times New Roman"/>
          <w:b/>
          <w:sz w:val="24"/>
          <w:szCs w:val="24"/>
        </w:rPr>
        <w:t>Données relatives aux résultats de la simulation</w:t>
      </w:r>
    </w:p>
    <w:p w14:paraId="2327284E" w14:textId="4A75D072" w:rsidR="00B7534F" w:rsidRDefault="00212773" w:rsidP="00411525">
      <w:pPr>
        <w:spacing w:before="200" w:line="276" w:lineRule="auto"/>
        <w:jc w:val="both"/>
        <w:rPr>
          <w:rFonts w:eastAsiaTheme="minorHAnsi"/>
          <w:b/>
          <w:lang w:eastAsia="en-US"/>
        </w:rPr>
      </w:pPr>
      <w:r w:rsidRPr="00B5436B">
        <w:t>Ce traitement est nécessaire à l’exécution d’une mission d’intérêt public ou relevant de l’exercice de l’autorité publique dont est investi le responsable de traitement au sens de l’article 6-e du règlement (UE) 2016/679 du Parlement européen et du Conseil du 27 avril 2016 relatif à la protection des personnes physiques à l’égard du traitement des données à caractère personnel et à la libre circulation de ces données.</w:t>
      </w:r>
    </w:p>
    <w:p w14:paraId="24CA7331" w14:textId="794B54F5" w:rsidR="00411525" w:rsidRDefault="00411525" w:rsidP="00411525">
      <w:pPr>
        <w:spacing w:before="200" w:line="276" w:lineRule="auto"/>
        <w:jc w:val="both"/>
      </w:pPr>
      <w:r>
        <w:rPr>
          <w:rFonts w:eastAsiaTheme="minorHAnsi"/>
          <w:b/>
          <w:lang w:eastAsia="en-US"/>
        </w:rPr>
        <w:t xml:space="preserve">Elles permettent de réaliser des statistiques anonymisées sur l’empreinte carbone en France. </w:t>
      </w:r>
    </w:p>
    <w:p w14:paraId="30420A62" w14:textId="77777777" w:rsidR="00AE3027" w:rsidRPr="00B5436B" w:rsidRDefault="00AE3027" w:rsidP="00AE3027">
      <w:pPr>
        <w:spacing w:before="200" w:line="276" w:lineRule="auto"/>
        <w:jc w:val="both"/>
      </w:pPr>
    </w:p>
    <w:p w14:paraId="70952777" w14:textId="77777777" w:rsidR="00212773" w:rsidRPr="00B5436B" w:rsidRDefault="00212773" w:rsidP="00212773">
      <w:pPr>
        <w:pStyle w:val="Paragraphedeliste"/>
        <w:numPr>
          <w:ilvl w:val="0"/>
          <w:numId w:val="4"/>
        </w:numPr>
        <w:tabs>
          <w:tab w:val="left" w:pos="8121"/>
        </w:tabs>
        <w:rPr>
          <w:rFonts w:ascii="Times New Roman" w:hAnsi="Times New Roman" w:cs="Times New Roman"/>
          <w:b/>
          <w:sz w:val="24"/>
          <w:szCs w:val="24"/>
        </w:rPr>
      </w:pPr>
      <w:r w:rsidRPr="00B5436B">
        <w:rPr>
          <w:rFonts w:ascii="Times New Roman" w:hAnsi="Times New Roman" w:cs="Times New Roman"/>
          <w:b/>
          <w:sz w:val="24"/>
          <w:szCs w:val="24"/>
        </w:rPr>
        <w:t>Cookies</w:t>
      </w:r>
    </w:p>
    <w:p w14:paraId="25180694" w14:textId="77777777" w:rsidR="00212773" w:rsidRPr="00B5436B" w:rsidRDefault="00212773" w:rsidP="00AE3027">
      <w:pPr>
        <w:spacing w:before="200" w:line="276" w:lineRule="auto"/>
        <w:jc w:val="both"/>
      </w:pPr>
      <w:r w:rsidRPr="00B5436B">
        <w:t xml:space="preserve">En application de l’article 5(3) de la directive 2002/58/CE modifiée concernant le traitement des données à caractère personnel et la protection de la vie privée dans le secteur des communications électroniques, transposée à l’article 83 de la loi n°78-17 du 6 janvier 1978 relative à l’informatique, aux fichiers et aux libertés, les traceurs ou cookies suivent deux régimes distincts. </w:t>
      </w:r>
    </w:p>
    <w:p w14:paraId="25C12978" w14:textId="77777777" w:rsidR="00212773" w:rsidRPr="00B5436B" w:rsidRDefault="00212773" w:rsidP="00AE3027">
      <w:pPr>
        <w:spacing w:before="200" w:line="276" w:lineRule="auto"/>
        <w:jc w:val="both"/>
      </w:pPr>
      <w:r w:rsidRPr="00B5436B">
        <w:t xml:space="preserve">Les cookies strictement nécessaires au service ou n’ayant pas pour finalité exclusive de faciliter la communication par voie électronique sont dispensés de consentement préalable au titre de l’article 83 de la loi n°78-17 du 6 janvier 1978. </w:t>
      </w:r>
    </w:p>
    <w:p w14:paraId="7E60A1EE" w14:textId="77777777" w:rsidR="00212773" w:rsidRPr="00B5436B" w:rsidRDefault="00212773" w:rsidP="00AE3027">
      <w:pPr>
        <w:spacing w:before="200" w:line="276" w:lineRule="auto"/>
        <w:jc w:val="both"/>
      </w:pPr>
      <w:r w:rsidRPr="00B5436B">
        <w:t>Les cookies n’étant pas strictement nécessaires au service ou n’ayant pas pour finalité exclusive de faciliter la communication par voie électronique doivent être consenti par l’utilisateur.</w:t>
      </w:r>
    </w:p>
    <w:p w14:paraId="5C311049" w14:textId="77777777" w:rsidR="00FD7B89" w:rsidRDefault="00212773" w:rsidP="00AE3027">
      <w:pPr>
        <w:spacing w:before="200" w:line="276" w:lineRule="auto"/>
        <w:jc w:val="both"/>
      </w:pPr>
      <w:r w:rsidRPr="00B5436B">
        <w:t>Ce consentement de la personne concernée pour une ou plusieurs finalités spécifiques constitue une base légale au sens du RGPD et doit être entendu au sens de l'article 6-a du Règlement (UE) 2016/679 du Parlement européen et du Conseil du 27 avril 2016 relatif à la protection des personnes physiques à l'égard du traitement des données à caractère personnel et à la libre circulation de ces données.</w:t>
      </w:r>
    </w:p>
    <w:p w14:paraId="614A9EDA" w14:textId="53F4E977" w:rsidR="00B7534F" w:rsidRDefault="00B7534F" w:rsidP="00FD7B89">
      <w:pPr>
        <w:jc w:val="both"/>
      </w:pPr>
    </w:p>
    <w:p w14:paraId="13988D22" w14:textId="7A614985" w:rsidR="00CF3396" w:rsidRDefault="005F0E40" w:rsidP="00FD7B89">
      <w:pPr>
        <w:jc w:val="both"/>
      </w:pPr>
      <w:r>
        <w:t xml:space="preserve">Les cookies de mesure d’audience, lorsque les données sont anonymisées, ne nécessitent pas de consentement. </w:t>
      </w:r>
      <w:r w:rsidR="00CF3396">
        <w:t xml:space="preserve"> </w:t>
      </w:r>
      <w:r w:rsidRPr="00CF3396">
        <w:t xml:space="preserve">En l’occurrence, la plateforme utilise </w:t>
      </w:r>
      <w:proofErr w:type="spellStart"/>
      <w:r w:rsidRPr="00CF3396">
        <w:t>Matomo</w:t>
      </w:r>
      <w:proofErr w:type="spellEnd"/>
      <w:r w:rsidRPr="00CF3396">
        <w:t xml:space="preserve"> dans sa version anonymisée, vous pouvez néanmoins vous opposer au suivi de votre navigation sur ce site web.</w:t>
      </w:r>
      <w:r w:rsidR="00CF3396">
        <w:t xml:space="preserve"> Pour plus d’informations, voir la section « Cookies ». </w:t>
      </w:r>
    </w:p>
    <w:p w14:paraId="4A600DCA" w14:textId="77777777" w:rsidR="00CF3396" w:rsidRPr="00FD7B89" w:rsidRDefault="00CF3396" w:rsidP="00FD7B89">
      <w:pPr>
        <w:jc w:val="both"/>
      </w:pPr>
    </w:p>
    <w:p w14:paraId="06BD0557" w14:textId="77777777" w:rsidR="00FD7B89" w:rsidRDefault="00FD7B89" w:rsidP="00FD7B89">
      <w:pPr>
        <w:rPr>
          <w:b/>
          <w:sz w:val="28"/>
          <w:szCs w:val="28"/>
        </w:rPr>
      </w:pPr>
      <w:r>
        <w:rPr>
          <w:b/>
          <w:sz w:val="28"/>
          <w:szCs w:val="28"/>
        </w:rPr>
        <w:t>Durée de conservation</w:t>
      </w:r>
    </w:p>
    <w:p w14:paraId="1C827C8D" w14:textId="77777777" w:rsidR="003D68F0" w:rsidRPr="006561B5" w:rsidRDefault="003D68F0" w:rsidP="00FD7B89">
      <w:pPr>
        <w:rPr>
          <w:b/>
          <w:sz w:val="28"/>
          <w:szCs w:val="28"/>
        </w:rPr>
      </w:pPr>
    </w:p>
    <w:tbl>
      <w:tblPr>
        <w:tblStyle w:val="Grilledutableau"/>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501"/>
        <w:gridCol w:w="4505"/>
      </w:tblGrid>
      <w:tr w:rsidR="00FD7B89" w:rsidRPr="00120B9E" w14:paraId="77481A8F" w14:textId="77777777" w:rsidTr="00F86259">
        <w:trPr>
          <w:trHeight w:val="644"/>
        </w:trPr>
        <w:tc>
          <w:tcPr>
            <w:tcW w:w="4501" w:type="dxa"/>
            <w:shd w:val="clear" w:color="auto" w:fill="BFBFBF" w:themeFill="background1" w:themeFillShade="BF"/>
          </w:tcPr>
          <w:p w14:paraId="54F0EB90" w14:textId="77777777" w:rsidR="00FD7B89" w:rsidRPr="00120B9E" w:rsidRDefault="00FD7B89" w:rsidP="00FE7CC6">
            <w:pPr>
              <w:spacing w:beforeLines="23" w:before="55" w:after="280"/>
              <w:ind w:firstLine="0"/>
              <w:jc w:val="center"/>
              <w:rPr>
                <w:b/>
                <w:sz w:val="24"/>
                <w:szCs w:val="24"/>
              </w:rPr>
            </w:pPr>
            <w:r w:rsidRPr="00120B9E">
              <w:rPr>
                <w:b/>
                <w:sz w:val="24"/>
                <w:szCs w:val="24"/>
              </w:rPr>
              <w:t>Types de données</w:t>
            </w:r>
          </w:p>
        </w:tc>
        <w:tc>
          <w:tcPr>
            <w:tcW w:w="4505" w:type="dxa"/>
            <w:shd w:val="clear" w:color="auto" w:fill="BFBFBF" w:themeFill="background1" w:themeFillShade="BF"/>
          </w:tcPr>
          <w:p w14:paraId="3989D1F3" w14:textId="77777777" w:rsidR="00FD7B89" w:rsidRPr="00120B9E" w:rsidRDefault="00FD7B89" w:rsidP="00FE7CC6">
            <w:pPr>
              <w:spacing w:beforeLines="23" w:before="55" w:after="280"/>
              <w:ind w:firstLine="0"/>
              <w:jc w:val="center"/>
              <w:rPr>
                <w:b/>
                <w:sz w:val="24"/>
                <w:szCs w:val="24"/>
              </w:rPr>
            </w:pPr>
            <w:r w:rsidRPr="00120B9E">
              <w:rPr>
                <w:b/>
                <w:sz w:val="24"/>
                <w:szCs w:val="24"/>
              </w:rPr>
              <w:t>Durée de conservation</w:t>
            </w:r>
          </w:p>
        </w:tc>
      </w:tr>
      <w:tr w:rsidR="00FD7B89" w:rsidRPr="00120B9E" w14:paraId="33F0AA04" w14:textId="77777777" w:rsidTr="00F86259">
        <w:trPr>
          <w:trHeight w:val="639"/>
        </w:trPr>
        <w:tc>
          <w:tcPr>
            <w:tcW w:w="4501" w:type="dxa"/>
          </w:tcPr>
          <w:p w14:paraId="242FE480" w14:textId="63BAA9F2" w:rsidR="00FD7B89" w:rsidRPr="00120B9E" w:rsidRDefault="00FD7B89" w:rsidP="00FE7CC6">
            <w:pPr>
              <w:spacing w:beforeLines="23" w:before="55" w:after="280"/>
              <w:ind w:hanging="2"/>
              <w:jc w:val="both"/>
            </w:pPr>
            <w:r w:rsidRPr="00120B9E">
              <w:t xml:space="preserve">Données </w:t>
            </w:r>
            <w:r w:rsidR="009E136E">
              <w:t xml:space="preserve">relatives à la </w:t>
            </w:r>
            <w:r w:rsidR="005F0E40">
              <w:t>simulation</w:t>
            </w:r>
          </w:p>
          <w:p w14:paraId="5C5DC26A" w14:textId="77777777" w:rsidR="00FD7B89" w:rsidRPr="00120B9E" w:rsidRDefault="00FD7B89" w:rsidP="00FE7CC6">
            <w:pPr>
              <w:spacing w:beforeLines="23" w:before="55" w:after="280"/>
              <w:ind w:firstLine="0"/>
              <w:jc w:val="both"/>
            </w:pPr>
          </w:p>
        </w:tc>
        <w:tc>
          <w:tcPr>
            <w:tcW w:w="4505" w:type="dxa"/>
          </w:tcPr>
          <w:p w14:paraId="13F83407" w14:textId="1C7C978B" w:rsidR="00FD7B89" w:rsidRPr="00F86259" w:rsidRDefault="005F0E40" w:rsidP="00FE7CC6">
            <w:pPr>
              <w:spacing w:beforeLines="23" w:before="55" w:after="280"/>
              <w:ind w:firstLine="0"/>
              <w:jc w:val="both"/>
            </w:pPr>
            <w:r>
              <w:rPr>
                <w:b/>
              </w:rPr>
              <w:t xml:space="preserve">Les données sont conservées localement sur le navigateur jusqu’à la fermeture de celui-ci. </w:t>
            </w:r>
          </w:p>
        </w:tc>
      </w:tr>
      <w:tr w:rsidR="009E136E" w:rsidRPr="00120B9E" w14:paraId="4DFC67EB" w14:textId="77777777" w:rsidTr="00FE7CC6">
        <w:tc>
          <w:tcPr>
            <w:tcW w:w="4501" w:type="dxa"/>
          </w:tcPr>
          <w:p w14:paraId="32B71B25" w14:textId="46D5E91B" w:rsidR="009E136E" w:rsidRPr="00B054F0" w:rsidRDefault="005F0E40" w:rsidP="00FE7CC6">
            <w:pPr>
              <w:spacing w:beforeLines="23" w:before="55" w:after="280"/>
              <w:ind w:hanging="2"/>
              <w:jc w:val="both"/>
            </w:pPr>
            <w:r w:rsidRPr="00B054F0">
              <w:t>Données relatives aux résultats de la simulation</w:t>
            </w:r>
          </w:p>
        </w:tc>
        <w:tc>
          <w:tcPr>
            <w:tcW w:w="4505" w:type="dxa"/>
          </w:tcPr>
          <w:p w14:paraId="35991D0E" w14:textId="782CD062" w:rsidR="009E136E" w:rsidRPr="00B054F0" w:rsidRDefault="00B054F0" w:rsidP="00B054F0">
            <w:pPr>
              <w:spacing w:beforeLines="23" w:before="55" w:after="280"/>
              <w:jc w:val="both"/>
              <w:rPr>
                <w:b/>
              </w:rPr>
            </w:pPr>
            <w:r w:rsidRPr="00B054F0">
              <w:rPr>
                <w:b/>
              </w:rPr>
              <w:t>Les données sont</w:t>
            </w:r>
            <w:r w:rsidR="005F0E40" w:rsidRPr="00B054F0">
              <w:rPr>
                <w:b/>
              </w:rPr>
              <w:t xml:space="preserve"> anonymisée</w:t>
            </w:r>
            <w:r w:rsidRPr="00B054F0">
              <w:rPr>
                <w:b/>
              </w:rPr>
              <w:t>s</w:t>
            </w:r>
            <w:r w:rsidRPr="00B054F0">
              <w:rPr>
                <w:b/>
              </w:rPr>
              <w:t>, une fois anonymisées, les données</w:t>
            </w:r>
            <w:r w:rsidR="0079754F">
              <w:rPr>
                <w:b/>
              </w:rPr>
              <w:t xml:space="preserve"> </w:t>
            </w:r>
            <w:r w:rsidRPr="00B054F0">
              <w:rPr>
                <w:b/>
              </w:rPr>
              <w:t xml:space="preserve">ne sont </w:t>
            </w:r>
            <w:r w:rsidRPr="00B054F0">
              <w:rPr>
                <w:b/>
              </w:rPr>
              <w:t>plus considérées comme des données à caractère personnel,</w:t>
            </w:r>
            <w:r w:rsidRPr="00B054F0">
              <w:rPr>
                <w:b/>
              </w:rPr>
              <w:t xml:space="preserve"> l</w:t>
            </w:r>
            <w:r w:rsidRPr="00B054F0">
              <w:rPr>
                <w:b/>
              </w:rPr>
              <w:t>a règlementation relative à la protection des données personnelles ne trouve plus à s’appliquer</w:t>
            </w:r>
            <w:r w:rsidRPr="00B054F0">
              <w:rPr>
                <w:b/>
              </w:rPr>
              <w:t xml:space="preserve">. Pour plus d’informations voir </w:t>
            </w:r>
            <w:hyperlink r:id="rId6" w:history="1">
              <w:r w:rsidRPr="00B054F0">
                <w:rPr>
                  <w:rStyle w:val="Lienhypertexte"/>
                  <w:b/>
                </w:rPr>
                <w:t>le guide de la CNIL</w:t>
              </w:r>
            </w:hyperlink>
            <w:r w:rsidRPr="00B054F0">
              <w:rPr>
                <w:b/>
              </w:rPr>
              <w:t xml:space="preserve">. </w:t>
            </w:r>
          </w:p>
        </w:tc>
      </w:tr>
      <w:tr w:rsidR="00FD7B89" w:rsidRPr="00120B9E" w14:paraId="4FAC4C77" w14:textId="77777777" w:rsidTr="00FE7CC6">
        <w:tc>
          <w:tcPr>
            <w:tcW w:w="4501" w:type="dxa"/>
          </w:tcPr>
          <w:p w14:paraId="4C0B2061" w14:textId="77777777" w:rsidR="00FD7B89" w:rsidRPr="00120B9E" w:rsidRDefault="00FD7B89" w:rsidP="00FE7CC6">
            <w:pPr>
              <w:spacing w:beforeLines="23" w:before="55" w:after="280"/>
              <w:ind w:firstLine="0"/>
              <w:jc w:val="both"/>
            </w:pPr>
            <w:r>
              <w:t>Cookies</w:t>
            </w:r>
          </w:p>
        </w:tc>
        <w:tc>
          <w:tcPr>
            <w:tcW w:w="4505" w:type="dxa"/>
          </w:tcPr>
          <w:p w14:paraId="61E60074" w14:textId="77777777" w:rsidR="00FD7B89" w:rsidRPr="00B5436B" w:rsidRDefault="00FD7B89" w:rsidP="00FE7CC6">
            <w:pPr>
              <w:spacing w:beforeLines="23" w:before="55" w:after="280"/>
              <w:ind w:firstLine="0"/>
              <w:jc w:val="both"/>
            </w:pPr>
            <w:r>
              <w:rPr>
                <w:b/>
              </w:rPr>
              <w:t>Dès le retrait du consentement ou dans un délai de 13 mois</w:t>
            </w:r>
            <w:r>
              <w:t>, conformément aux recommandations de la CNIL</w:t>
            </w:r>
          </w:p>
        </w:tc>
      </w:tr>
    </w:tbl>
    <w:p w14:paraId="1FFE4168" w14:textId="77777777" w:rsidR="00FD7B89" w:rsidRPr="00B5436B" w:rsidRDefault="00FD7B89" w:rsidP="00FD7B89">
      <w:pPr>
        <w:jc w:val="both"/>
      </w:pPr>
    </w:p>
    <w:p w14:paraId="781FF3E4" w14:textId="77777777" w:rsidR="00FD7B89" w:rsidRDefault="00FD7B89" w:rsidP="00FD7B89">
      <w:pPr>
        <w:rPr>
          <w:b/>
          <w:sz w:val="28"/>
          <w:szCs w:val="28"/>
        </w:rPr>
      </w:pPr>
      <w:r w:rsidRPr="006561B5">
        <w:rPr>
          <w:b/>
          <w:sz w:val="28"/>
          <w:szCs w:val="28"/>
        </w:rPr>
        <w:t>Droit des personnes concernées</w:t>
      </w:r>
    </w:p>
    <w:p w14:paraId="7CDC6C1C" w14:textId="77777777" w:rsidR="003D68F0" w:rsidRPr="006561B5" w:rsidRDefault="003D68F0" w:rsidP="00FD7B89">
      <w:pPr>
        <w:rPr>
          <w:b/>
          <w:sz w:val="28"/>
          <w:szCs w:val="28"/>
        </w:rPr>
      </w:pPr>
    </w:p>
    <w:p w14:paraId="382DFAE4" w14:textId="77777777" w:rsidR="00CF3396" w:rsidRDefault="00CF3396" w:rsidP="005F0E40">
      <w:pPr>
        <w:spacing w:line="276" w:lineRule="auto"/>
        <w:jc w:val="both"/>
      </w:pPr>
      <w:r>
        <w:t>L</w:t>
      </w:r>
      <w:r w:rsidRPr="00CF3396">
        <w:t xml:space="preserve">orsque l’anonymisation est effective, le RGPD ne s’applique plus aux données ainsi anonymisées, celles-ci n’étant dès lors plus à caractère personnel. </w:t>
      </w:r>
    </w:p>
    <w:p w14:paraId="18906756" w14:textId="77777777" w:rsidR="00B7534F" w:rsidRDefault="00B7534F" w:rsidP="00FD7B89">
      <w:pPr>
        <w:rPr>
          <w:b/>
          <w:sz w:val="28"/>
          <w:szCs w:val="28"/>
        </w:rPr>
      </w:pPr>
    </w:p>
    <w:p w14:paraId="76D91A12" w14:textId="77777777" w:rsidR="00FD7B89" w:rsidRDefault="00FD7B89" w:rsidP="00FD7B89">
      <w:pPr>
        <w:rPr>
          <w:b/>
          <w:sz w:val="28"/>
          <w:szCs w:val="28"/>
        </w:rPr>
      </w:pPr>
      <w:r w:rsidRPr="006561B5">
        <w:rPr>
          <w:b/>
          <w:sz w:val="28"/>
          <w:szCs w:val="28"/>
        </w:rPr>
        <w:t>Destinataires des données</w:t>
      </w:r>
    </w:p>
    <w:p w14:paraId="01CA0E7E" w14:textId="77777777" w:rsidR="003D68F0" w:rsidRPr="006561B5" w:rsidRDefault="003D68F0" w:rsidP="00FD7B89">
      <w:pPr>
        <w:rPr>
          <w:b/>
          <w:sz w:val="28"/>
          <w:szCs w:val="28"/>
        </w:rPr>
      </w:pPr>
    </w:p>
    <w:p w14:paraId="3F9AA541" w14:textId="3742C207" w:rsidR="00FD7B89" w:rsidRPr="00697FA0" w:rsidRDefault="00FD7B89" w:rsidP="00FD7B89">
      <w:pPr>
        <w:jc w:val="both"/>
      </w:pPr>
      <w:r>
        <w:t>Le responsable de traitement s’engage à ce que les données soient traitées par les seules personnes autorisées.</w:t>
      </w:r>
    </w:p>
    <w:p w14:paraId="2AC29246" w14:textId="77777777" w:rsidR="00FD7B89" w:rsidRPr="00697FA0" w:rsidRDefault="00FD7B89" w:rsidP="00FD7B89"/>
    <w:p w14:paraId="73B82002" w14:textId="77777777" w:rsidR="00FD7B89" w:rsidRDefault="00FD7B89" w:rsidP="00FD7B89">
      <w:pPr>
        <w:rPr>
          <w:b/>
          <w:sz w:val="28"/>
          <w:szCs w:val="28"/>
        </w:rPr>
      </w:pPr>
      <w:r w:rsidRPr="00CF3396">
        <w:rPr>
          <w:b/>
          <w:sz w:val="28"/>
          <w:szCs w:val="28"/>
          <w:highlight w:val="yellow"/>
        </w:rPr>
        <w:t>Sous-traitants</w:t>
      </w:r>
    </w:p>
    <w:p w14:paraId="79B0F10C" w14:textId="77777777" w:rsidR="003D68F0" w:rsidRDefault="003D68F0" w:rsidP="00FD7B89">
      <w:pPr>
        <w:rPr>
          <w:b/>
          <w:sz w:val="28"/>
          <w:szCs w:val="28"/>
        </w:rPr>
      </w:pPr>
    </w:p>
    <w:p w14:paraId="141C512C" w14:textId="77777777" w:rsidR="00FD7B89" w:rsidRPr="00800292" w:rsidRDefault="00FD7B89" w:rsidP="00FD7B89">
      <w:pPr>
        <w:jc w:val="both"/>
        <w:rPr>
          <w:highlight w:val="yellow"/>
        </w:rPr>
      </w:pPr>
      <w:r w:rsidRPr="00800292">
        <w:rPr>
          <w:highlight w:val="yellow"/>
        </w:rPr>
        <w:t>Certaines des données sont envoyées à des sous-traitants pour réaliser certaines missions. Le responsable de traitement s'est assuré de la mise en œuvre par ses sous-traitants de garanties adéquates et du respect de conditions strictes de confidentialité, d’usage et de protection des données.</w:t>
      </w:r>
    </w:p>
    <w:p w14:paraId="1D62C98C" w14:textId="77777777" w:rsidR="003D68F0" w:rsidRPr="00800292" w:rsidRDefault="003D68F0" w:rsidP="00FD7B89">
      <w:pPr>
        <w:jc w:val="both"/>
        <w:rPr>
          <w:highlight w:val="yellow"/>
        </w:rPr>
      </w:pPr>
    </w:p>
    <w:tbl>
      <w:tblPr>
        <w:tblStyle w:val="Grilledutableau"/>
        <w:tblW w:w="0" w:type="auto"/>
        <w:tblLook w:val="04A0" w:firstRow="1" w:lastRow="0" w:firstColumn="1" w:lastColumn="0" w:noHBand="0" w:noVBand="1"/>
      </w:tblPr>
      <w:tblGrid>
        <w:gridCol w:w="1529"/>
        <w:gridCol w:w="1465"/>
        <w:gridCol w:w="1912"/>
        <w:gridCol w:w="4150"/>
      </w:tblGrid>
      <w:tr w:rsidR="00FD7B89" w:rsidRPr="002B5AE5" w14:paraId="50C842AD" w14:textId="77777777" w:rsidTr="00476B17">
        <w:tc>
          <w:tcPr>
            <w:tcW w:w="1649" w:type="dxa"/>
            <w:shd w:val="clear" w:color="auto" w:fill="BFBFBF" w:themeFill="background1" w:themeFillShade="BF"/>
          </w:tcPr>
          <w:p w14:paraId="71DABB0D" w14:textId="77777777" w:rsidR="00FD7B89" w:rsidRPr="00800292" w:rsidRDefault="00FD7B89" w:rsidP="00FE7CC6">
            <w:pPr>
              <w:spacing w:beforeLines="23" w:before="55" w:after="280"/>
              <w:ind w:firstLine="0"/>
              <w:jc w:val="both"/>
              <w:rPr>
                <w:b/>
                <w:sz w:val="24"/>
                <w:szCs w:val="24"/>
                <w:highlight w:val="yellow"/>
              </w:rPr>
            </w:pPr>
            <w:r w:rsidRPr="00800292">
              <w:rPr>
                <w:b/>
                <w:sz w:val="24"/>
                <w:szCs w:val="24"/>
                <w:highlight w:val="yellow"/>
              </w:rPr>
              <w:t>Partenaire</w:t>
            </w:r>
          </w:p>
        </w:tc>
        <w:tc>
          <w:tcPr>
            <w:tcW w:w="1597" w:type="dxa"/>
            <w:shd w:val="clear" w:color="auto" w:fill="BFBFBF" w:themeFill="background1" w:themeFillShade="BF"/>
          </w:tcPr>
          <w:p w14:paraId="6F46CE97" w14:textId="77777777" w:rsidR="00FD7B89" w:rsidRPr="00800292" w:rsidRDefault="00FD7B89" w:rsidP="00FE7CC6">
            <w:pPr>
              <w:spacing w:beforeLines="23" w:before="55" w:after="280"/>
              <w:ind w:firstLine="0"/>
              <w:jc w:val="both"/>
              <w:rPr>
                <w:b/>
                <w:sz w:val="24"/>
                <w:szCs w:val="24"/>
                <w:highlight w:val="yellow"/>
              </w:rPr>
            </w:pPr>
            <w:r w:rsidRPr="00800292">
              <w:rPr>
                <w:b/>
                <w:sz w:val="24"/>
                <w:szCs w:val="24"/>
                <w:highlight w:val="yellow"/>
              </w:rPr>
              <w:t>Pays destinataire</w:t>
            </w:r>
          </w:p>
        </w:tc>
        <w:tc>
          <w:tcPr>
            <w:tcW w:w="3412" w:type="dxa"/>
            <w:shd w:val="clear" w:color="auto" w:fill="BFBFBF" w:themeFill="background1" w:themeFillShade="BF"/>
          </w:tcPr>
          <w:p w14:paraId="0A707437" w14:textId="77777777" w:rsidR="00FD7B89" w:rsidRPr="00800292" w:rsidRDefault="00FD7B89" w:rsidP="00FE7CC6">
            <w:pPr>
              <w:spacing w:beforeLines="23" w:before="55" w:after="280"/>
              <w:ind w:firstLine="0"/>
              <w:jc w:val="both"/>
              <w:rPr>
                <w:b/>
                <w:sz w:val="24"/>
                <w:szCs w:val="24"/>
                <w:highlight w:val="yellow"/>
              </w:rPr>
            </w:pPr>
            <w:r w:rsidRPr="00800292">
              <w:rPr>
                <w:b/>
                <w:sz w:val="24"/>
                <w:szCs w:val="24"/>
                <w:highlight w:val="yellow"/>
              </w:rPr>
              <w:t>Traitement réalisé</w:t>
            </w:r>
          </w:p>
        </w:tc>
        <w:tc>
          <w:tcPr>
            <w:tcW w:w="2398" w:type="dxa"/>
            <w:shd w:val="clear" w:color="auto" w:fill="BFBFBF" w:themeFill="background1" w:themeFillShade="BF"/>
          </w:tcPr>
          <w:p w14:paraId="1727111D" w14:textId="77777777" w:rsidR="00FD7B89" w:rsidRPr="002B5AE5" w:rsidRDefault="00FD7B89" w:rsidP="00FE7CC6">
            <w:pPr>
              <w:spacing w:beforeLines="23" w:before="55" w:after="280"/>
              <w:ind w:firstLine="0"/>
              <w:jc w:val="both"/>
              <w:rPr>
                <w:b/>
                <w:sz w:val="24"/>
                <w:szCs w:val="24"/>
              </w:rPr>
            </w:pPr>
            <w:r w:rsidRPr="00800292">
              <w:rPr>
                <w:b/>
                <w:sz w:val="24"/>
                <w:szCs w:val="24"/>
                <w:highlight w:val="yellow"/>
              </w:rPr>
              <w:t>Garanties</w:t>
            </w:r>
          </w:p>
        </w:tc>
      </w:tr>
      <w:tr w:rsidR="00FD7B89" w14:paraId="2F28A7B7" w14:textId="77777777" w:rsidTr="00476B17">
        <w:tc>
          <w:tcPr>
            <w:tcW w:w="1649" w:type="dxa"/>
          </w:tcPr>
          <w:p w14:paraId="2DB2C915" w14:textId="79ED5708" w:rsidR="00FD7B89" w:rsidRDefault="00476B17" w:rsidP="00FE7CC6">
            <w:pPr>
              <w:spacing w:beforeLines="23" w:before="55" w:after="280"/>
              <w:ind w:firstLine="0"/>
              <w:jc w:val="both"/>
              <w:rPr>
                <w:sz w:val="24"/>
                <w:szCs w:val="24"/>
              </w:rPr>
            </w:pPr>
            <w:proofErr w:type="spellStart"/>
            <w:r w:rsidRPr="00476B17">
              <w:rPr>
                <w:sz w:val="24"/>
                <w:szCs w:val="24"/>
              </w:rPr>
              <w:t>DigitalOcean</w:t>
            </w:r>
            <w:proofErr w:type="spellEnd"/>
            <w:r w:rsidRPr="00476B17">
              <w:rPr>
                <w:sz w:val="24"/>
                <w:szCs w:val="24"/>
              </w:rPr>
              <w:t xml:space="preserve"> LLC</w:t>
            </w:r>
          </w:p>
        </w:tc>
        <w:tc>
          <w:tcPr>
            <w:tcW w:w="1597" w:type="dxa"/>
          </w:tcPr>
          <w:p w14:paraId="3ED8E320" w14:textId="48D9C9DB" w:rsidR="00FD7B89" w:rsidRDefault="00476B17" w:rsidP="00FE7CC6">
            <w:pPr>
              <w:spacing w:beforeLines="23" w:before="55" w:after="280"/>
              <w:ind w:firstLine="0"/>
              <w:jc w:val="both"/>
              <w:rPr>
                <w:sz w:val="24"/>
                <w:szCs w:val="24"/>
              </w:rPr>
            </w:pPr>
            <w:r>
              <w:rPr>
                <w:sz w:val="24"/>
                <w:szCs w:val="24"/>
              </w:rPr>
              <w:t>France</w:t>
            </w:r>
          </w:p>
        </w:tc>
        <w:tc>
          <w:tcPr>
            <w:tcW w:w="3412" w:type="dxa"/>
          </w:tcPr>
          <w:p w14:paraId="218E1AD1" w14:textId="60A16D5F" w:rsidR="00FD7B89" w:rsidRDefault="00476B17" w:rsidP="00FE7CC6">
            <w:pPr>
              <w:spacing w:beforeLines="23" w:before="55" w:after="280"/>
              <w:ind w:firstLine="0"/>
              <w:jc w:val="both"/>
              <w:rPr>
                <w:sz w:val="24"/>
                <w:szCs w:val="24"/>
              </w:rPr>
            </w:pPr>
            <w:r>
              <w:rPr>
                <w:sz w:val="24"/>
                <w:szCs w:val="24"/>
              </w:rPr>
              <w:t>Hébergement</w:t>
            </w:r>
          </w:p>
        </w:tc>
        <w:tc>
          <w:tcPr>
            <w:tcW w:w="2398" w:type="dxa"/>
          </w:tcPr>
          <w:p w14:paraId="63A795BF" w14:textId="4FFA298F" w:rsidR="00FD7B89" w:rsidRPr="00781B85" w:rsidRDefault="00476B17" w:rsidP="00FE7CC6">
            <w:r w:rsidRPr="00476B17">
              <w:t>https://www.digitalocean.com/legal/privacy-policy/</w:t>
            </w:r>
          </w:p>
        </w:tc>
      </w:tr>
    </w:tbl>
    <w:p w14:paraId="45B6DD77" w14:textId="121E514E" w:rsidR="00FD7B89" w:rsidRDefault="00FD7B89" w:rsidP="00FD7B89"/>
    <w:p w14:paraId="3021E1AC" w14:textId="77777777" w:rsidR="00476B17" w:rsidRPr="00781B85" w:rsidRDefault="00476B17" w:rsidP="00FD7B89"/>
    <w:p w14:paraId="135AEABC" w14:textId="77777777" w:rsidR="003D68F0" w:rsidRPr="006561B5" w:rsidRDefault="00FD7B89" w:rsidP="00FD7B89">
      <w:pPr>
        <w:rPr>
          <w:b/>
          <w:sz w:val="28"/>
          <w:szCs w:val="28"/>
        </w:rPr>
      </w:pPr>
      <w:r w:rsidRPr="006561B5">
        <w:rPr>
          <w:b/>
          <w:sz w:val="28"/>
          <w:szCs w:val="28"/>
        </w:rPr>
        <w:lastRenderedPageBreak/>
        <w:t>Cookies</w:t>
      </w:r>
    </w:p>
    <w:p w14:paraId="21EBF33C" w14:textId="77777777" w:rsidR="00FD7B89" w:rsidRDefault="00FD7B89" w:rsidP="00AE3027">
      <w:pPr>
        <w:spacing w:before="200" w:line="276" w:lineRule="auto"/>
        <w:jc w:val="both"/>
      </w:pPr>
      <w:r>
        <w:t>Un cookie est un fichier déposé sur votre terminal lors de la visite d’un site. Il a pour but de collecter des informations relatives à votre navigation et de vous adresser des services adaptés à votre terminal (ordinateur, mobile ou tablette).</w:t>
      </w:r>
    </w:p>
    <w:p w14:paraId="73DEFC77" w14:textId="77777777" w:rsidR="00FD7B89" w:rsidRDefault="00FD7B89" w:rsidP="00AE3027">
      <w:pPr>
        <w:spacing w:before="200" w:line="276" w:lineRule="auto"/>
        <w:jc w:val="both"/>
      </w:pPr>
      <w:r>
        <w:t xml:space="preserve">Le site dépose des cookies de mesure d’audience (nombre de visites, pages consultées), respectant les conditions d’exemption du consentement de l’internaute définies par la recommandation « Cookies » de la Commission nationale informatique et libertés (CNIL). Cela signifie, notamment, que ces cookies ne servent qu’à la production de statistiques anonymes et ne permettent pas de suivre la navigation de l’internaute sur d’autres sites. </w:t>
      </w:r>
    </w:p>
    <w:p w14:paraId="4C885FDC" w14:textId="77777777" w:rsidR="00FD7B89" w:rsidRPr="00781B85" w:rsidRDefault="00FD7B89" w:rsidP="00AE3027">
      <w:pPr>
        <w:spacing w:before="200" w:line="276" w:lineRule="auto"/>
        <w:jc w:val="both"/>
      </w:pPr>
      <w:r>
        <w:rPr>
          <w:b/>
        </w:rPr>
        <w:t>Nous utilisons pour cela Matomo,</w:t>
      </w:r>
      <w:r>
        <w:t xml:space="preserve"> un outil de mesure d’audience web libre, paramétré pour être en conformité avec la recommandation « Cookies » de la CNIL</w:t>
      </w:r>
      <w:r w:rsidRPr="00781B85">
        <w:t xml:space="preserve">. </w:t>
      </w:r>
      <w:r w:rsidRPr="00781B85">
        <w:rPr>
          <w:spacing w:val="5"/>
          <w:shd w:val="clear" w:color="auto" w:fill="FFFFFF"/>
        </w:rPr>
        <w:t>Cela signifie que votre adresse IP, par exemple, est anonymisée avant d’être enregistrée. Il est donc impossible d’associer vos visites sur ce site à votre personne.</w:t>
      </w:r>
    </w:p>
    <w:p w14:paraId="26D253DD" w14:textId="77777777" w:rsidR="00FD7B89" w:rsidRDefault="00FD7B89" w:rsidP="00FD7B89">
      <w:pPr>
        <w:jc w:val="both"/>
      </w:pPr>
    </w:p>
    <w:p w14:paraId="6DE81010" w14:textId="77777777" w:rsidR="00FD7B89" w:rsidRDefault="00FD7B89" w:rsidP="00FD7B89">
      <w:pPr>
        <w:jc w:val="both"/>
      </w:pPr>
      <w:r>
        <w:t>Il convient d’indiquer que :</w:t>
      </w:r>
    </w:p>
    <w:p w14:paraId="7ABD1A4A" w14:textId="77777777" w:rsidR="00FD7B89" w:rsidRDefault="00FD7B89" w:rsidP="00FD7B89">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Les données collectées ne sont pas recoupées avec d’autres traitements</w:t>
      </w:r>
    </w:p>
    <w:p w14:paraId="43A6790D" w14:textId="77777777" w:rsidR="00FD7B89" w:rsidRPr="006561B5" w:rsidRDefault="00FD7B89" w:rsidP="00FD7B89">
      <w:pPr>
        <w:pStyle w:val="Paragraphedeliste"/>
        <w:numPr>
          <w:ilvl w:val="0"/>
          <w:numId w:val="2"/>
        </w:numPr>
        <w:jc w:val="both"/>
        <w:rPr>
          <w:rFonts w:ascii="Times New Roman" w:hAnsi="Times New Roman" w:cs="Times New Roman"/>
          <w:sz w:val="24"/>
          <w:szCs w:val="24"/>
        </w:rPr>
      </w:pPr>
      <w:r>
        <w:rPr>
          <w:rFonts w:ascii="Times New Roman" w:hAnsi="Times New Roman" w:cs="Times New Roman"/>
          <w:sz w:val="24"/>
          <w:szCs w:val="24"/>
        </w:rPr>
        <w:t>Les cookies ne permettent pas de suivre la navigation de l’internaute sur d’autres sites</w:t>
      </w:r>
    </w:p>
    <w:p w14:paraId="647EBE6A" w14:textId="77777777" w:rsidR="00FD7B89" w:rsidRDefault="00FD7B89" w:rsidP="00FD7B89">
      <w:pPr>
        <w:widowControl w:val="0"/>
        <w:pBdr>
          <w:top w:val="nil"/>
          <w:left w:val="nil"/>
          <w:bottom w:val="nil"/>
          <w:right w:val="nil"/>
          <w:between w:val="nil"/>
        </w:pBdr>
        <w:spacing w:before="200"/>
        <w:jc w:val="both"/>
        <w:rPr>
          <w:rFonts w:ascii="Helvetica Neue" w:eastAsia="Helvetica Neue" w:hAnsi="Helvetica Neue" w:cs="Helvetica Neue"/>
          <w:color w:val="000000"/>
          <w:sz w:val="21"/>
          <w:szCs w:val="21"/>
        </w:rPr>
      </w:pPr>
      <w:bookmarkStart w:id="0" w:name="_heading=h.30j0zll" w:colFirst="0" w:colLast="0"/>
      <w:bookmarkEnd w:id="0"/>
    </w:p>
    <w:p w14:paraId="6D5BC86A" w14:textId="77777777" w:rsidR="00FD7B89" w:rsidRPr="00781B85" w:rsidRDefault="00FD7B89" w:rsidP="00FD7B89">
      <w:pPr>
        <w:rPr>
          <w:b/>
        </w:rPr>
      </w:pPr>
      <w:r w:rsidRPr="00781B85">
        <w:rPr>
          <w:b/>
        </w:rPr>
        <w:t xml:space="preserve">**[BOUTON MODIFIER LES </w:t>
      </w:r>
      <w:proofErr w:type="gramStart"/>
      <w:r w:rsidRPr="00781B85">
        <w:rPr>
          <w:b/>
        </w:rPr>
        <w:t>REGLAGES]*</w:t>
      </w:r>
      <w:proofErr w:type="gramEnd"/>
      <w:r w:rsidRPr="00781B85">
        <w:rPr>
          <w:b/>
        </w:rPr>
        <w:t>*</w:t>
      </w:r>
    </w:p>
    <w:p w14:paraId="75247787" w14:textId="77777777" w:rsidR="00FD7B89" w:rsidRPr="00781B85" w:rsidRDefault="00FD7B89" w:rsidP="00AE3027">
      <w:pPr>
        <w:spacing w:before="200" w:line="276" w:lineRule="auto"/>
        <w:jc w:val="both"/>
      </w:pPr>
      <w:r w:rsidRPr="00781B85">
        <w:t>À tout moment, vous pouvez refuser l’utilisation des cookies et désactiver le dépôt sur votre ordinateur en utilisant la fonction dédiée de votre navigateur (fonction disponible notamment sur Microsoft Internet Explorer 11, Google Chrome, Mozilla Firefox, Apple Safari et Opera).</w:t>
      </w:r>
    </w:p>
    <w:p w14:paraId="130A5AF9" w14:textId="77777777" w:rsidR="00FD7B89" w:rsidRPr="00781B85" w:rsidRDefault="00FD7B89" w:rsidP="00AE3027">
      <w:pPr>
        <w:spacing w:before="200" w:line="276" w:lineRule="auto"/>
        <w:jc w:val="both"/>
      </w:pPr>
    </w:p>
    <w:p w14:paraId="0F50CFB6" w14:textId="77777777" w:rsidR="00FD7B89" w:rsidRPr="00781B85" w:rsidRDefault="00FD7B89" w:rsidP="00AE3027">
      <w:pPr>
        <w:spacing w:before="200" w:line="276" w:lineRule="auto"/>
        <w:jc w:val="both"/>
      </w:pPr>
      <w:r w:rsidRPr="00781B85">
        <w:t xml:space="preserve">Pour aller plus loin, vous pouvez consulter les fiches proposées par la Commission Nationale de l'Informatique et des Libertés (CNIL) : </w:t>
      </w:r>
    </w:p>
    <w:p w14:paraId="2A3D3702" w14:textId="77777777" w:rsidR="00FD7B89" w:rsidRPr="00AE3027" w:rsidRDefault="00FD7B89" w:rsidP="00AE3027">
      <w:pPr>
        <w:pStyle w:val="Paragraphedeliste"/>
        <w:numPr>
          <w:ilvl w:val="0"/>
          <w:numId w:val="2"/>
        </w:numPr>
        <w:jc w:val="both"/>
        <w:rPr>
          <w:rFonts w:ascii="Times New Roman" w:hAnsi="Times New Roman" w:cs="Times New Roman"/>
          <w:sz w:val="24"/>
          <w:szCs w:val="24"/>
        </w:rPr>
      </w:pPr>
      <w:r w:rsidRPr="00AE3027">
        <w:rPr>
          <w:rFonts w:ascii="Times New Roman" w:hAnsi="Times New Roman" w:cs="Times New Roman"/>
          <w:sz w:val="24"/>
          <w:szCs w:val="24"/>
        </w:rPr>
        <w:t xml:space="preserve">[Cookies &amp; traceurs : que dit la loi </w:t>
      </w:r>
      <w:proofErr w:type="gramStart"/>
      <w:r w:rsidRPr="00AE3027">
        <w:rPr>
          <w:rFonts w:ascii="Times New Roman" w:hAnsi="Times New Roman" w:cs="Times New Roman"/>
          <w:sz w:val="24"/>
          <w:szCs w:val="24"/>
        </w:rPr>
        <w:t>?](</w:t>
      </w:r>
      <w:proofErr w:type="gramEnd"/>
      <w:r w:rsidRPr="00AE3027">
        <w:rPr>
          <w:rFonts w:ascii="Times New Roman" w:hAnsi="Times New Roman" w:cs="Times New Roman"/>
          <w:sz w:val="24"/>
          <w:szCs w:val="24"/>
        </w:rPr>
        <w:t>https://www.cnil.fr/fr/cookies-traceurs-que-dit-la-loi)</w:t>
      </w:r>
    </w:p>
    <w:p w14:paraId="097422EB" w14:textId="77777777" w:rsidR="00FD7B89" w:rsidRPr="00AE3027" w:rsidRDefault="00FD7B89" w:rsidP="00AE3027">
      <w:pPr>
        <w:pStyle w:val="Paragraphedeliste"/>
        <w:numPr>
          <w:ilvl w:val="0"/>
          <w:numId w:val="2"/>
        </w:numPr>
        <w:jc w:val="both"/>
        <w:rPr>
          <w:rFonts w:ascii="Times New Roman" w:hAnsi="Times New Roman" w:cs="Times New Roman"/>
          <w:sz w:val="24"/>
          <w:szCs w:val="24"/>
        </w:rPr>
      </w:pPr>
      <w:r w:rsidRPr="00AE3027">
        <w:rPr>
          <w:rFonts w:ascii="Times New Roman" w:hAnsi="Times New Roman" w:cs="Times New Roman"/>
          <w:sz w:val="24"/>
          <w:szCs w:val="24"/>
        </w:rPr>
        <w:t xml:space="preserve">[Cookies : les outils pour les </w:t>
      </w:r>
      <w:proofErr w:type="gramStart"/>
      <w:r w:rsidRPr="00AE3027">
        <w:rPr>
          <w:rFonts w:ascii="Times New Roman" w:hAnsi="Times New Roman" w:cs="Times New Roman"/>
          <w:sz w:val="24"/>
          <w:szCs w:val="24"/>
        </w:rPr>
        <w:t>maîtriser](</w:t>
      </w:r>
      <w:proofErr w:type="gramEnd"/>
      <w:r w:rsidRPr="00AE3027">
        <w:rPr>
          <w:rFonts w:ascii="Times New Roman" w:hAnsi="Times New Roman" w:cs="Times New Roman"/>
          <w:sz w:val="24"/>
          <w:szCs w:val="24"/>
        </w:rPr>
        <w:t>https://www.cnil.fr/fr/cookies-les-outils-pour-les-maitriser)</w:t>
      </w:r>
    </w:p>
    <w:p w14:paraId="476C4705" w14:textId="77777777" w:rsidR="00FD7B89" w:rsidRDefault="00FD7B89" w:rsidP="00FD7B89"/>
    <w:p w14:paraId="1FED66C1" w14:textId="77777777" w:rsidR="00C56AD6" w:rsidRDefault="00C56AD6"/>
    <w:sectPr w:rsidR="00C56AD6" w:rsidSect="003D73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4783"/>
    <w:multiLevelType w:val="hybridMultilevel"/>
    <w:tmpl w:val="675A8774"/>
    <w:lvl w:ilvl="0" w:tplc="77B86E6A">
      <w:start w:val="3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809EA"/>
    <w:multiLevelType w:val="hybridMultilevel"/>
    <w:tmpl w:val="10B2EB84"/>
    <w:lvl w:ilvl="0" w:tplc="378C51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A903C8"/>
    <w:multiLevelType w:val="hybridMultilevel"/>
    <w:tmpl w:val="9F980CE4"/>
    <w:lvl w:ilvl="0" w:tplc="378C51AA">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073B5B"/>
    <w:multiLevelType w:val="hybridMultilevel"/>
    <w:tmpl w:val="14E8663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3D4D8D"/>
    <w:multiLevelType w:val="hybridMultilevel"/>
    <w:tmpl w:val="CCF42F2C"/>
    <w:lvl w:ilvl="0" w:tplc="77B86E6A">
      <w:start w:val="3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E06BF8"/>
    <w:multiLevelType w:val="hybridMultilevel"/>
    <w:tmpl w:val="9C029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1A1545"/>
    <w:multiLevelType w:val="hybridMultilevel"/>
    <w:tmpl w:val="50842E76"/>
    <w:lvl w:ilvl="0" w:tplc="378C51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5F4EB9"/>
    <w:multiLevelType w:val="hybridMultilevel"/>
    <w:tmpl w:val="4A7E31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D21545"/>
    <w:multiLevelType w:val="hybridMultilevel"/>
    <w:tmpl w:val="866C6086"/>
    <w:lvl w:ilvl="0" w:tplc="64A0D810">
      <w:start w:val="3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D144744"/>
    <w:multiLevelType w:val="hybridMultilevel"/>
    <w:tmpl w:val="94E22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9"/>
  </w:num>
  <w:num w:numId="6">
    <w:abstractNumId w:val="2"/>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89"/>
    <w:rsid w:val="00034A55"/>
    <w:rsid w:val="000A5398"/>
    <w:rsid w:val="001330C6"/>
    <w:rsid w:val="00212773"/>
    <w:rsid w:val="003D68F0"/>
    <w:rsid w:val="00411525"/>
    <w:rsid w:val="00476B17"/>
    <w:rsid w:val="00576227"/>
    <w:rsid w:val="005C1B64"/>
    <w:rsid w:val="005F0E40"/>
    <w:rsid w:val="00677B7E"/>
    <w:rsid w:val="007605D7"/>
    <w:rsid w:val="0079754F"/>
    <w:rsid w:val="007D1A0C"/>
    <w:rsid w:val="00800292"/>
    <w:rsid w:val="00821C10"/>
    <w:rsid w:val="009E136E"/>
    <w:rsid w:val="00AC66D6"/>
    <w:rsid w:val="00AE3027"/>
    <w:rsid w:val="00B054F0"/>
    <w:rsid w:val="00B15AF6"/>
    <w:rsid w:val="00B7534F"/>
    <w:rsid w:val="00C3768A"/>
    <w:rsid w:val="00C56AD6"/>
    <w:rsid w:val="00CF3396"/>
    <w:rsid w:val="00EB52C0"/>
    <w:rsid w:val="00EC02BF"/>
    <w:rsid w:val="00F86259"/>
    <w:rsid w:val="00FD7B89"/>
    <w:rsid w:val="00FF18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31B9"/>
  <w15:chartTrackingRefBased/>
  <w15:docId w15:val="{F3A35134-110B-ED44-8F5B-917A2FF4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4F"/>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e Tiret,Bullet point"/>
    <w:basedOn w:val="Normal"/>
    <w:link w:val="ParagraphedelisteCar"/>
    <w:uiPriority w:val="34"/>
    <w:qFormat/>
    <w:rsid w:val="00FD7B8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ParagraphedelisteCar">
    <w:name w:val="Paragraphe de liste Car"/>
    <w:aliases w:val="Liste Tiret Car,Bullet point Car"/>
    <w:link w:val="Paragraphedeliste"/>
    <w:uiPriority w:val="34"/>
    <w:rsid w:val="00FD7B89"/>
    <w:rPr>
      <w:sz w:val="22"/>
      <w:szCs w:val="22"/>
    </w:rPr>
  </w:style>
  <w:style w:type="table" w:styleId="Grilledutableau">
    <w:name w:val="Table Grid"/>
    <w:basedOn w:val="TableauNormal"/>
    <w:uiPriority w:val="39"/>
    <w:rsid w:val="00FD7B89"/>
    <w:pPr>
      <w:ind w:hanging="1"/>
    </w:pPr>
    <w:rPr>
      <w:rFonts w:ascii="Calibri" w:eastAsia="Calibri" w:hAnsi="Calibri" w:cs="Calibri"/>
      <w:sz w:val="22"/>
      <w:szCs w:val="22"/>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D7B89"/>
    <w:rPr>
      <w:color w:val="0000FF"/>
      <w:u w:val="single"/>
    </w:rPr>
  </w:style>
  <w:style w:type="paragraph" w:styleId="NormalWeb">
    <w:name w:val="Normal (Web)"/>
    <w:basedOn w:val="Normal"/>
    <w:uiPriority w:val="99"/>
    <w:unhideWhenUsed/>
    <w:rsid w:val="00FD7B89"/>
    <w:pPr>
      <w:spacing w:before="100" w:beforeAutospacing="1" w:after="100" w:afterAutospacing="1"/>
    </w:pPr>
  </w:style>
  <w:style w:type="character" w:styleId="lev">
    <w:name w:val="Strong"/>
    <w:basedOn w:val="Policepardfaut"/>
    <w:uiPriority w:val="22"/>
    <w:qFormat/>
    <w:rsid w:val="00FD7B89"/>
    <w:rPr>
      <w:b/>
      <w:bCs/>
    </w:rPr>
  </w:style>
  <w:style w:type="character" w:styleId="Mentionnonrsolue">
    <w:name w:val="Unresolved Mention"/>
    <w:basedOn w:val="Policepardfaut"/>
    <w:uiPriority w:val="99"/>
    <w:semiHidden/>
    <w:unhideWhenUsed/>
    <w:rsid w:val="00B75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il.fr/sites/default/files/atoms/files/guide_durees_de_conservation.pdf" TargetMode="External"/><Relationship Id="rId5" Type="http://schemas.openxmlformats.org/officeDocument/2006/relationships/hyperlink" Target="https://www.cnil.fr/fr/quest-ce-ce-quune-donnee-de-san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1232</Words>
  <Characters>6778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Osiris Moukoko Priso</dc:creator>
  <cp:keywords/>
  <dc:description/>
  <cp:lastModifiedBy>Laura B.C</cp:lastModifiedBy>
  <cp:revision>7</cp:revision>
  <dcterms:created xsi:type="dcterms:W3CDTF">2021-07-07T14:02:00Z</dcterms:created>
  <dcterms:modified xsi:type="dcterms:W3CDTF">2021-07-08T16:08:00Z</dcterms:modified>
</cp:coreProperties>
</file>