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53C09" w14:textId="77777777" w:rsidR="00530B5F" w:rsidRPr="00CF32E7" w:rsidRDefault="00CF4076">
      <w:pPr>
        <w:rPr>
          <w:rFonts w:ascii="Times New Roman" w:hAnsi="Times New Roman" w:cs="Times New Roman"/>
          <w:b/>
          <w:lang w:val="en-US"/>
        </w:rPr>
      </w:pPr>
      <w:r w:rsidRPr="00CF32E7">
        <w:rPr>
          <w:rFonts w:ascii="Times New Roman" w:hAnsi="Times New Roman" w:cs="Times New Roman"/>
          <w:b/>
          <w:lang w:val="en-US"/>
        </w:rPr>
        <w:t>Participants</w:t>
      </w:r>
    </w:p>
    <w:p w14:paraId="78AD2B9D" w14:textId="77777777" w:rsidR="00CF4076" w:rsidRDefault="00CF4076">
      <w:pPr>
        <w:rPr>
          <w:rFonts w:ascii="Times New Roman" w:hAnsi="Times New Roman" w:cs="Times New Roman"/>
          <w:lang w:val="en-US"/>
        </w:rPr>
      </w:pPr>
      <w:r w:rsidRPr="00CF4076">
        <w:rPr>
          <w:rFonts w:ascii="Times New Roman" w:hAnsi="Times New Roman" w:cs="Times New Roman"/>
          <w:lang w:val="en-US"/>
        </w:rPr>
        <w:t>Data from N = 72 patients with schiz</w:t>
      </w:r>
      <w:r>
        <w:rPr>
          <w:rFonts w:ascii="Times New Roman" w:hAnsi="Times New Roman" w:cs="Times New Roman"/>
          <w:lang w:val="en-US"/>
        </w:rPr>
        <w:t>ophrenia and N = 75 healthy controls were obtained from the Center for Biomedical Research Excellence (COBRE) via the 1000 functional connectomes project (</w:t>
      </w:r>
      <w:hyperlink r:id="rId4" w:history="1">
        <w:r w:rsidRPr="001F4317">
          <w:rPr>
            <w:rStyle w:val="Hyperlink"/>
            <w:rFonts w:ascii="Times New Roman" w:hAnsi="Times New Roman" w:cs="Times New Roman"/>
            <w:lang w:val="en-US"/>
          </w:rPr>
          <w:t>http://fcon_1000.projects.nitrc.org/indi/retro/cobre.html</w:t>
        </w:r>
      </w:hyperlink>
      <w:r>
        <w:rPr>
          <w:rFonts w:ascii="Times New Roman" w:hAnsi="Times New Roman" w:cs="Times New Roman"/>
          <w:lang w:val="en-US"/>
        </w:rPr>
        <w:t xml:space="preserve">). Data were processed under the Creative Commons License: Attribution Non-Commercial. Diagnoses were confirmed with the structured clinical interview for DSM disorders (SCID). All participants were screened to exclude a history of neurological disorder, history of mental retardation, history of severe head trauma (&gt; 5 minutes loss of consciousness), history of substance abuse or dependence within the last twelve months. Informed written consent was obtained from all participants prior to study enrollment. All procedures were reviewed and approved by the relevant ethics review boards at the University of New Mexico. </w:t>
      </w:r>
    </w:p>
    <w:p w14:paraId="266F1A1A" w14:textId="77777777" w:rsidR="00CF4076" w:rsidRDefault="00CF4076">
      <w:pPr>
        <w:rPr>
          <w:rFonts w:ascii="Times New Roman" w:hAnsi="Times New Roman" w:cs="Times New Roman"/>
          <w:lang w:val="en-US"/>
        </w:rPr>
      </w:pPr>
    </w:p>
    <w:p w14:paraId="0F4918DC" w14:textId="77777777" w:rsidR="00CF4076" w:rsidRDefault="00CF4076">
      <w:pPr>
        <w:rPr>
          <w:rFonts w:ascii="Times New Roman" w:hAnsi="Times New Roman" w:cs="Times New Roman"/>
          <w:b/>
          <w:lang w:val="en-US"/>
        </w:rPr>
      </w:pPr>
      <w:r w:rsidRPr="00CF4076">
        <w:rPr>
          <w:rFonts w:ascii="Times New Roman" w:hAnsi="Times New Roman" w:cs="Times New Roman"/>
          <w:b/>
          <w:lang w:val="en-US"/>
        </w:rPr>
        <w:t xml:space="preserve">Image </w:t>
      </w:r>
      <w:r>
        <w:rPr>
          <w:rFonts w:ascii="Times New Roman" w:hAnsi="Times New Roman" w:cs="Times New Roman"/>
          <w:b/>
          <w:lang w:val="en-US"/>
        </w:rPr>
        <w:t>acquisition</w:t>
      </w:r>
    </w:p>
    <w:p w14:paraId="024B795B" w14:textId="77777777" w:rsidR="00CF4076" w:rsidRDefault="00CF4076">
      <w:pPr>
        <w:rPr>
          <w:rFonts w:ascii="Times New Roman" w:hAnsi="Times New Roman" w:cs="Times New Roman"/>
          <w:lang w:val="en-US"/>
        </w:rPr>
      </w:pPr>
      <w:r>
        <w:rPr>
          <w:rFonts w:ascii="Times New Roman" w:hAnsi="Times New Roman" w:cs="Times New Roman"/>
          <w:lang w:val="en-US"/>
        </w:rPr>
        <w:t xml:space="preserve">Detailed acquisition parameters are available at the project website. </w:t>
      </w:r>
      <w:r w:rsidR="00C613A5">
        <w:rPr>
          <w:rFonts w:ascii="Times New Roman" w:hAnsi="Times New Roman" w:cs="Times New Roman"/>
          <w:lang w:val="en-US"/>
        </w:rPr>
        <w:t xml:space="preserve">Imaging data included a multi-echo MPRAGE T1-weighted structural image and an echo-planar imaging (EPI) resting-state scan with a time to repeat (TR) of 2 seconds, time to echo (TE) of 29 ms, 3*3*4 mm voxel size, and 150 acquired whole brain volumes. </w:t>
      </w:r>
    </w:p>
    <w:p w14:paraId="247B4BD6" w14:textId="77777777" w:rsidR="00C613A5" w:rsidRDefault="00C613A5">
      <w:pPr>
        <w:rPr>
          <w:rFonts w:ascii="Times New Roman" w:hAnsi="Times New Roman" w:cs="Times New Roman"/>
          <w:lang w:val="en-US"/>
        </w:rPr>
      </w:pPr>
    </w:p>
    <w:p w14:paraId="291917EE" w14:textId="77777777" w:rsidR="00C613A5" w:rsidRDefault="00076ED8">
      <w:pPr>
        <w:rPr>
          <w:rFonts w:ascii="Times New Roman" w:hAnsi="Times New Roman" w:cs="Times New Roman"/>
          <w:b/>
          <w:lang w:val="en-US"/>
        </w:rPr>
      </w:pPr>
      <w:r w:rsidRPr="00076ED8">
        <w:rPr>
          <w:rFonts w:ascii="Times New Roman" w:hAnsi="Times New Roman" w:cs="Times New Roman"/>
          <w:b/>
          <w:lang w:val="en-US"/>
        </w:rPr>
        <w:t>Preprocessing</w:t>
      </w:r>
    </w:p>
    <w:p w14:paraId="42B7BF02" w14:textId="77777777" w:rsidR="00076ED8" w:rsidRDefault="00076ED8">
      <w:pPr>
        <w:rPr>
          <w:rFonts w:ascii="Times New Roman" w:hAnsi="Times New Roman" w:cs="Times New Roman"/>
          <w:lang w:val="en-US"/>
        </w:rPr>
      </w:pPr>
      <w:r>
        <w:rPr>
          <w:rFonts w:ascii="Times New Roman" w:hAnsi="Times New Roman" w:cs="Times New Roman"/>
          <w:lang w:val="en-US"/>
        </w:rPr>
        <w:t xml:space="preserve">Resting-state time series were processed using software code from the FMRIB Software Library (FSL) as described previously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{"citationID":"lETCkuYQ","properties":{"formattedCitation":"(Deris et al., 2017; Zimmermann et al., 2018)","plainCitation":"(Deris et al., 2017; Zimmermann et al., 2018)","noteIndex":0},"citationItems":[{"id":4848,"uris":["http://zotero.org/users/4743313/items/6C7QJKQI"],"uri":["http://zotero.org/users/4743313/items/6C7QJKQI"],"itemData":{"id":4848,"type":"article-journal","container-title":"NeuroImage","DOI":"10.1016/j.neuroimage.2016.11.063","ISSN":"10538119","language":"en","page":"423-431","source":"CrossRef","title":"Functional connectivity in the resting brain as biological correlate of the Affective Neuroscience Personality Scales","volume":"147","author":[{"family":"Deris","given":"Nadja"},{"family":"Montag","given":"Christian"},{"family":"Reuter","given":"Martin"},{"family":"Weber","given":"Bernd"},{"family":"Markett","given":"Sebastian"}],"issued":{"date-parts":[["2017",2]]}}},{"id":5889,"uris":["http://zotero.org/users/4743313/items/5DRUZCBN"],"uri":["http://zotero.org/users/4743313/items/5DRUZCBN"],"itemData":{"id":5889,"type":"article-journal","abstract":"Across species, the neuropeptide oxytocin has been associated with afﬁliative and social approach behavior. It has been suggested to exert its effects by modulating neural circuitry underlying anxiety, afﬁliative motivation, and social salience. The present study aims to investigate differences in subregional amygdala resting-state connectivity in healthy adult carriers of different genotypes of the oxytocin receptor (OXTR) gene polymorphism rs2268498. Previous studies have associated this polymorphic locus with social cognitive and afﬁliative phenotypes. The amygdala qualiﬁes as a reasonable target due to its broad implication in emotional and social cognitive processing as well as its key role in mediating the behavioral effects of oxytocin. Whole brain seed-based functional connectivity analyses for the basolateral, centromedial and superﬁcial amygdala revealed stronger restingstate connectivity of all amygdala subregions to the fusiform and inferior occipital gyrus in TT-carriers compared to C-allele carriers. Additional modulations were found for the centromedial amygdala which showed stronger resting-state connectivity to inferior frontal regions and the insula in C-allele carriers and to brainstem regions in TT-carriers. Our ﬁndings not only show the importance of oxytocin functioning in amygdalar neuronal signaling but also emphasize the need to investigate the amygdalar subregions individually instead of the amygdala as a whole. In summary, the present study is the ﬁrst to characterize the impact of genetic variation of the OXTR gene with known functional consequences on widespread changes in a functional brain network originating from the amygdala.","container-title":"NeuroImage","DOI":"10.1016/j.neuroimage.2018.06.014","ISSN":"10538119","language":"en","page":"1-10","source":"Crossref","title":"A common polymorphism on the oxytocin receptor gene (rs2268498) and resting-state functional connectivity of amygdala subregions - A genetic imaging study","volume":"179","author":[{"family":"Zimmermann","given":"Julika"},{"family":"Deris","given":"Nadja"},{"family":"Montag","given":"Christian"},{"family":"Reuter","given":"Martin"},{"family":"Felten","given":"Andrea"},{"family":"Becker","given":"Benjamin"},{"family":"Weber","given":"Bernd"},{"family":"Markett","given":"Sebastian"}],"issued":{"date-parts":[["2018",10]]}}}],"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(Deris et al., 2017; Zimmermann et al., 2018)</w:t>
      </w:r>
      <w:r>
        <w:rPr>
          <w:rFonts w:ascii="Times New Roman" w:hAnsi="Times New Roman" w:cs="Times New Roman"/>
          <w:lang w:val="en-US"/>
        </w:rPr>
        <w:fldChar w:fldCharType="end"/>
      </w:r>
      <w:r>
        <w:rPr>
          <w:rFonts w:ascii="Times New Roman" w:hAnsi="Times New Roman" w:cs="Times New Roman"/>
          <w:lang w:val="en-US"/>
        </w:rPr>
        <w:t xml:space="preserve">. In brief, resting-state data were brain extracted, head-motion corrected, spatially smoothed with a 5 mm Gaussian kernel, and intensity normalized. Additional motion clean-up was performed using ICA-AROMA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{"citationID":"Vc5p7ImD","properties":{"formattedCitation":"(Pruim et al., 2015)","plainCitation":"(Pruim et al., 2015)","noteIndex":0},"citationItems":[{"id":2747,"uris":["http://zotero.org/users/4743313/items/Z6NEXR8A"],"uri":["http://zotero.org/users/4743313/items/Z6NEXR8A"],"itemData":{"id":2747,"type":"article-journal","abstract":"Head motion during functional MRI (fMRI) scanning can induce spurious findings and/or harm detection of true effects. Solutions have been proposed, including deleting (‘scrubbing’) or regressing out (‘spike regression’) motion volumes from fMRI time-series. These strategies remove motion-induced signal variations at the cost of destroying the autocorrelation structure of the fMRI time-series and reducing temporal degrees of freedom. ICA-based fMRI denoising strategies overcome these drawbacks but typically require re-training of a classifier, needing manual labeling of derived components (e.g. ICA-FIX; Salimi-Khorshidi et al. (2014)). Here, we propose an ICA-based strategy for Automatic Removal of Motion Artifacts (ICA-AROMA) that uses a small (n = 4), but robust set of theoretically motivated temporal and spatial features. Our strategy does not require classifier re-training, retains the data's autocorrelation structure and largely preserves temporal degrees of freedom. We describe ICA-AROMA, its implementation, and initial validation. ICA-AROMA identified motion components with high accuracy and robustness as illustrated by leave-N-out cross-validation. We additionally validated ICA-AROMA in resting-state (100 participants) and task-based fMRI data (118 participants). Our approach removed (motion-related) spurious noise from both rfMRI and task-based fMRI data to larger extent than regression using 24 motion parameters or spike regression. Furthermore, ICA-AROMA increased sensitivity to group-level activation. Our results show that ICA-AROMA effectively reduces motion-induced signal variations in fMRI data, is applicable across datasets without requiring classifier re-training, and preserves the temporal characteristics of the fMRI data.","container-title":"NeuroImage","DOI":"10.1016/j.neuroimage.2015.02.064","ISSN":"1053-8119","journalAbbreviation":"NeuroImage","page":"267-277","source":"ScienceDirect","title":"ICA-AROMA: A robust ICA-based strategy for removing motion artifacts from fMRI data","title-short":"ICA-AROMA","volume":"112","author":[{"family":"Pruim","given":"Raimon H. R."},{"family":"Mennes","given":"Maarten"},{"family":"Rooij","given":"Daan","non-dropping-particle":"van"},{"family":"Llera","given":"Alberto"},{"family":"Buitelaar","given":"Jan K."},{"family":"Beckmann","given":"Christian F."}],"issued":{"date-parts":[["2015",5,15]]}}}],"schema":"https://github.com/citation-style-language/schema/raw/master/csl-citation.json"}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(Pruim et al., 2015)</w:t>
      </w:r>
      <w:r>
        <w:rPr>
          <w:rFonts w:ascii="Times New Roman" w:hAnsi="Times New Roman" w:cs="Times New Roman"/>
          <w:lang w:val="en-US"/>
        </w:rPr>
        <w:fldChar w:fldCharType="end"/>
      </w:r>
      <w:r>
        <w:rPr>
          <w:rFonts w:ascii="Times New Roman" w:hAnsi="Times New Roman" w:cs="Times New Roman"/>
          <w:lang w:val="en-US"/>
        </w:rPr>
        <w:t xml:space="preserve">. Mean signals from white matter and cerebrospinal fluids </w:t>
      </w:r>
      <w:r w:rsidR="00C95D63">
        <w:rPr>
          <w:rFonts w:ascii="Times New Roman" w:hAnsi="Times New Roman" w:cs="Times New Roman"/>
          <w:lang w:val="en-US"/>
        </w:rPr>
        <w:t xml:space="preserve">were regressed from the time series and a high pass filter of .01 hz was applied to remove low frequency noise. In order to match individual resting-state data to artifact templates in ICA-AROMA, data were spatially normalized with non-linear transformations in FSL’s FNIRT. All analyses, however, were performed in the native space. </w:t>
      </w:r>
    </w:p>
    <w:p w14:paraId="1E277663" w14:textId="06A1BCA0" w:rsidR="00C95D63" w:rsidRDefault="00C95D63">
      <w:pPr>
        <w:rPr>
          <w:rFonts w:ascii="Times New Roman" w:hAnsi="Times New Roman" w:cs="Times New Roman"/>
          <w:lang w:val="en-US"/>
        </w:rPr>
      </w:pPr>
      <w:r>
        <w:rPr>
          <w:rFonts w:ascii="Times New Roman" w:hAnsi="Times New Roman" w:cs="Times New Roman"/>
          <w:lang w:val="en-US"/>
        </w:rPr>
        <w:t>Structural data were run through Freesurfer (</w:t>
      </w:r>
      <w:hyperlink r:id="rId5" w:history="1">
        <w:r w:rsidRPr="001F4317">
          <w:rPr>
            <w:rStyle w:val="Hyperlink"/>
            <w:rFonts w:ascii="Times New Roman" w:hAnsi="Times New Roman" w:cs="Times New Roman"/>
            <w:lang w:val="en-US"/>
          </w:rPr>
          <w:t>https://surfer.nmr.mgh.harvard.edu</w:t>
        </w:r>
      </w:hyperlink>
      <w:r>
        <w:rPr>
          <w:rFonts w:ascii="Times New Roman" w:hAnsi="Times New Roman" w:cs="Times New Roman"/>
          <w:lang w:val="en-US"/>
        </w:rPr>
        <w:t>) and the cortical sheet was segmented into 6</w:t>
      </w:r>
      <w:r w:rsidR="00CF32E7">
        <w:rPr>
          <w:rFonts w:ascii="Times New Roman" w:hAnsi="Times New Roman" w:cs="Times New Roman"/>
          <w:lang w:val="en-US"/>
        </w:rPr>
        <w:t>8</w:t>
      </w:r>
      <w:r>
        <w:rPr>
          <w:rFonts w:ascii="Times New Roman" w:hAnsi="Times New Roman" w:cs="Times New Roman"/>
          <w:lang w:val="en-US"/>
        </w:rPr>
        <w:t xml:space="preserve"> regions of interest according to Freesurfer’s Desikan Killiany atlas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{"citationID":"YNfz5u4T","properties":{"formattedCitation":"(Desikan et al., 2006)","plainCitation":"(Desikan et al., 2006)","noteIndex":0},"citationItems":[{"id":6684,"uris":["http://zotero.org/users/4743313/items/3XKCHBPG"],"uri":["http://zotero.org/users/4743313/items/3XKCHBPG"],"itemData":{"id":6684,"type":"article-journal","container-title":"NeuroImage","DOI":"10.1016/j.neuroimage.2006.01.021","ISSN":"10538119","issue":"3","language":"en","page":"968-980","source":"Crossref","title":"An automated labeling system for subdividing the human cerebral cortex on MRI scans into gyral based regions of interest","volume":"31","author":[{"family":"Desikan","given":"Rahul S."},{"family":"Ségonne","given":"Florent"},{"family":"Fischl","given":"Bruce"},{"family":"Quinn","given":"Brian T."},{"family":"Dickerson","given":"Bradford C."},{"family":"Blacker","given":"Deborah"},{"family":"Buckner","given":"Randy L."},{"family":"Dale","given":"Anders M."},{"family":"Maguire","given":"R. Paul"},{"family":"Hyman","given":"Bradley T."},{"family":"Albert","given":"Marilyn S."},{"family":"Killiany","given":"Ronald J."}],"issued":{"date-parts":[["2006",7]]}}}],"schema":"https://github.com/citation-style-language/schema/raw/master/csl-citation.json"}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(Desikan et al., 2006)</w:t>
      </w:r>
      <w:r>
        <w:rPr>
          <w:rFonts w:ascii="Times New Roman" w:hAnsi="Times New Roman" w:cs="Times New Roman"/>
          <w:lang w:val="en-US"/>
        </w:rPr>
        <w:fldChar w:fldCharType="end"/>
      </w:r>
      <w:r>
        <w:rPr>
          <w:rFonts w:ascii="Times New Roman" w:hAnsi="Times New Roman" w:cs="Times New Roman"/>
          <w:lang w:val="en-US"/>
        </w:rPr>
        <w:t xml:space="preserve">. </w:t>
      </w:r>
      <w:r w:rsidR="005A61D7">
        <w:rPr>
          <w:rFonts w:ascii="Times New Roman" w:hAnsi="Times New Roman" w:cs="Times New Roman"/>
          <w:lang w:val="en-US"/>
        </w:rPr>
        <w:t xml:space="preserve">Mean time-series were extracted from the preprocessed resting-state data for each ROI. </w:t>
      </w:r>
    </w:p>
    <w:p w14:paraId="6AF57274" w14:textId="77777777" w:rsidR="00ED0978" w:rsidRDefault="00ED0978">
      <w:pPr>
        <w:rPr>
          <w:rFonts w:ascii="Times New Roman" w:hAnsi="Times New Roman" w:cs="Times New Roman"/>
          <w:lang w:val="en-US"/>
        </w:rPr>
      </w:pPr>
    </w:p>
    <w:p w14:paraId="6534B8B6" w14:textId="77777777" w:rsidR="00ED0978" w:rsidRDefault="00A13B9E">
      <w:pPr>
        <w:rPr>
          <w:rFonts w:ascii="Times New Roman" w:hAnsi="Times New Roman" w:cs="Times New Roman"/>
          <w:b/>
          <w:lang w:val="en-US"/>
        </w:rPr>
      </w:pPr>
      <w:r w:rsidRPr="00A13B9E">
        <w:rPr>
          <w:rFonts w:ascii="Times New Roman" w:hAnsi="Times New Roman" w:cs="Times New Roman"/>
          <w:b/>
          <w:lang w:val="en-US"/>
        </w:rPr>
        <w:t xml:space="preserve">Quality Assurance </w:t>
      </w:r>
    </w:p>
    <w:p w14:paraId="329EFF9A" w14:textId="77777777" w:rsidR="00A13B9E" w:rsidRDefault="0017028B">
      <w:pPr>
        <w:rPr>
          <w:rFonts w:ascii="Times New Roman" w:hAnsi="Times New Roman" w:cs="Times New Roman"/>
          <w:lang w:val="en-US"/>
        </w:rPr>
      </w:pPr>
      <w:r>
        <w:rPr>
          <w:rFonts w:ascii="Times New Roman" w:hAnsi="Times New Roman" w:cs="Times New Roman"/>
          <w:lang w:val="en-US"/>
        </w:rPr>
        <w:t>N = 14 p</w:t>
      </w:r>
      <w:r w:rsidR="00A13B9E">
        <w:rPr>
          <w:rFonts w:ascii="Times New Roman" w:hAnsi="Times New Roman" w:cs="Times New Roman"/>
          <w:lang w:val="en-US"/>
        </w:rPr>
        <w:t>articipants with excessive head motions were excluded from further analysis. We identified participant with high mean absolute head motion (n = 11 participants, data driven cutoff using Tukey hinges, corresponding to a motion threshold of &gt; .839 mm)</w:t>
      </w:r>
      <w:r>
        <w:rPr>
          <w:rFonts w:ascii="Times New Roman" w:hAnsi="Times New Roman" w:cs="Times New Roman"/>
          <w:lang w:val="en-US"/>
        </w:rPr>
        <w:t xml:space="preserve"> and</w:t>
      </w:r>
      <w:r w:rsidR="00A13B9E">
        <w:rPr>
          <w:rFonts w:ascii="Times New Roman" w:hAnsi="Times New Roman" w:cs="Times New Roman"/>
          <w:lang w:val="en-US"/>
        </w:rPr>
        <w:t xml:space="preserve"> participants with an excessive number of flagged time points using FSL’s motion outlier detection (n = 2, data driven cutoff using Tukey hinges, corresponding to a threshold of  &gt; 13.33% flagged time points)</w:t>
      </w:r>
      <w:r>
        <w:rPr>
          <w:rFonts w:ascii="Times New Roman" w:hAnsi="Times New Roman" w:cs="Times New Roman"/>
          <w:lang w:val="en-US"/>
        </w:rPr>
        <w:t xml:space="preserve">. For one further participant, all independent components were classified as artifactual by ICA-AROMA. </w:t>
      </w:r>
    </w:p>
    <w:p w14:paraId="18C0767D" w14:textId="77777777" w:rsidR="002C415E" w:rsidRDefault="0054152A">
      <w:pPr>
        <w:rPr>
          <w:rFonts w:ascii="Times New Roman" w:hAnsi="Times New Roman" w:cs="Times New Roman"/>
          <w:lang w:val="en-US"/>
        </w:rPr>
      </w:pPr>
      <w:r>
        <w:rPr>
          <w:rFonts w:ascii="Times New Roman" w:hAnsi="Times New Roman" w:cs="Times New Roman"/>
          <w:lang w:val="en-US"/>
        </w:rPr>
        <w:t xml:space="preserve">One participant’s time series were incomplete. </w:t>
      </w:r>
      <w:r w:rsidR="002C415E">
        <w:rPr>
          <w:rFonts w:ascii="Times New Roman" w:hAnsi="Times New Roman" w:cs="Times New Roman"/>
          <w:lang w:val="en-US"/>
        </w:rPr>
        <w:t>Including two participants who disenrolled from the study, a total of 1</w:t>
      </w:r>
      <w:r w:rsidR="005064BA">
        <w:rPr>
          <w:rFonts w:ascii="Times New Roman" w:hAnsi="Times New Roman" w:cs="Times New Roman"/>
          <w:lang w:val="en-US"/>
        </w:rPr>
        <w:t>7</w:t>
      </w:r>
      <w:r w:rsidR="002C415E">
        <w:rPr>
          <w:rFonts w:ascii="Times New Roman" w:hAnsi="Times New Roman" w:cs="Times New Roman"/>
          <w:lang w:val="en-US"/>
        </w:rPr>
        <w:t xml:space="preserve"> participants were excluded from the COBRE sample.</w:t>
      </w:r>
    </w:p>
    <w:p w14:paraId="2A8E4E16" w14:textId="77777777" w:rsidR="00453BB3" w:rsidRDefault="00453BB3">
      <w:pPr>
        <w:rPr>
          <w:rFonts w:ascii="Times New Roman" w:hAnsi="Times New Roman" w:cs="Times New Roman"/>
          <w:lang w:val="en-US"/>
        </w:rPr>
      </w:pPr>
      <w:r>
        <w:rPr>
          <w:rFonts w:ascii="Times New Roman" w:hAnsi="Times New Roman" w:cs="Times New Roman"/>
          <w:lang w:val="en-US"/>
        </w:rPr>
        <w:t>We identified one bilateral ROI (frontal pole) with poor coverage</w:t>
      </w:r>
      <w:r w:rsidR="00DD0D4A">
        <w:rPr>
          <w:rFonts w:ascii="Times New Roman" w:hAnsi="Times New Roman" w:cs="Times New Roman"/>
          <w:lang w:val="en-US"/>
        </w:rPr>
        <w:t xml:space="preserve"> (left: 63.7%, right: 67.49% mean coverage)</w:t>
      </w:r>
      <w:r>
        <w:rPr>
          <w:rFonts w:ascii="Times New Roman" w:hAnsi="Times New Roman" w:cs="Times New Roman"/>
          <w:lang w:val="en-US"/>
        </w:rPr>
        <w:t xml:space="preserve"> in the functional data (spatial overlap between anatomical ROI and functional mask). </w:t>
      </w:r>
    </w:p>
    <w:p w14:paraId="30567012" w14:textId="77777777" w:rsidR="00B11B96" w:rsidRDefault="00B11B96">
      <w:pPr>
        <w:rPr>
          <w:rFonts w:ascii="Times New Roman" w:hAnsi="Times New Roman" w:cs="Times New Roman"/>
          <w:lang w:val="en-US"/>
        </w:rPr>
      </w:pPr>
    </w:p>
    <w:p w14:paraId="7F16205A" w14:textId="77777777" w:rsidR="00B11B96" w:rsidRDefault="00B11B96">
      <w:pPr>
        <w:rPr>
          <w:rFonts w:ascii="Times New Roman" w:hAnsi="Times New Roman" w:cs="Times New Roman"/>
          <w:b/>
          <w:lang w:val="en-US"/>
        </w:rPr>
      </w:pPr>
      <w:r w:rsidRPr="00B11B96">
        <w:rPr>
          <w:rFonts w:ascii="Times New Roman" w:hAnsi="Times New Roman" w:cs="Times New Roman"/>
          <w:b/>
          <w:lang w:val="en-US"/>
        </w:rPr>
        <w:t>Final sample</w:t>
      </w:r>
    </w:p>
    <w:p w14:paraId="0EE41748" w14:textId="77777777" w:rsidR="00B11B96" w:rsidRPr="00ED6F1C" w:rsidRDefault="00FE4E45">
      <w:pPr>
        <w:rPr>
          <w:rFonts w:ascii="Times New Roman" w:hAnsi="Times New Roman" w:cs="Times New Roman"/>
          <w:b/>
          <w:lang w:val="en-US"/>
        </w:rPr>
      </w:pPr>
      <w:r>
        <w:rPr>
          <w:rFonts w:ascii="Times New Roman" w:hAnsi="Times New Roman" w:cs="Times New Roman"/>
          <w:lang w:val="en-US"/>
        </w:rPr>
        <w:t>N =  61 patients, n = 70 controls, n= 34 female, n = 97 male, mean age M = 37.03 (SD = 12.96)</w:t>
      </w:r>
      <w:r w:rsidR="008A460D">
        <w:rPr>
          <w:rFonts w:ascii="Times New Roman" w:hAnsi="Times New Roman" w:cs="Times New Roman"/>
          <w:lang w:val="en-US"/>
        </w:rPr>
        <w:t>. No difference between groups regarding age (t(129) = -1.166</w:t>
      </w:r>
      <w:r w:rsidR="00ED6F1C">
        <w:rPr>
          <w:rFonts w:ascii="Times New Roman" w:hAnsi="Times New Roman" w:cs="Times New Roman"/>
          <w:lang w:val="en-US"/>
        </w:rPr>
        <w:t xml:space="preserve">, p = .256). Tendency (yet non-significant) towards less females in the patient group: Chi2(1)=3.727, p =.053. </w:t>
      </w:r>
    </w:p>
    <w:sectPr w:rsidR="00B11B96" w:rsidRPr="00ED6F1C" w:rsidSect="00F530B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76"/>
    <w:rsid w:val="00061AC9"/>
    <w:rsid w:val="00076ED8"/>
    <w:rsid w:val="0017028B"/>
    <w:rsid w:val="002C415E"/>
    <w:rsid w:val="002E430B"/>
    <w:rsid w:val="00453BB3"/>
    <w:rsid w:val="005064BA"/>
    <w:rsid w:val="0054152A"/>
    <w:rsid w:val="005A61D7"/>
    <w:rsid w:val="007D5BB5"/>
    <w:rsid w:val="008A460D"/>
    <w:rsid w:val="00A13B9E"/>
    <w:rsid w:val="00B11B96"/>
    <w:rsid w:val="00C613A5"/>
    <w:rsid w:val="00C95D63"/>
    <w:rsid w:val="00CF32E7"/>
    <w:rsid w:val="00CF4076"/>
    <w:rsid w:val="00DD0D4A"/>
    <w:rsid w:val="00ED0978"/>
    <w:rsid w:val="00ED6F1C"/>
    <w:rsid w:val="00F530BF"/>
    <w:rsid w:val="00FE4E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05A9"/>
  <w15:chartTrackingRefBased/>
  <w15:docId w15:val="{A51B8344-9A61-4142-B7A0-74A227D3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F4076"/>
    <w:rPr>
      <w:color w:val="0563C1" w:themeColor="hyperlink"/>
      <w:u w:val="single"/>
    </w:rPr>
  </w:style>
  <w:style w:type="character" w:styleId="NichtaufgelsteErwhnung">
    <w:name w:val="Unresolved Mention"/>
    <w:basedOn w:val="Absatz-Standardschriftart"/>
    <w:uiPriority w:val="99"/>
    <w:semiHidden/>
    <w:unhideWhenUsed/>
    <w:rsid w:val="00CF4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rfer.nmr.mgh.harvard.edu" TargetMode="External"/><Relationship Id="rId4" Type="http://schemas.openxmlformats.org/officeDocument/2006/relationships/hyperlink" Target="http://fcon_1000.projects.nitrc.org/indi/retro/cob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1564</Words>
  <Characters>9854</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Asko und Björn</cp:lastModifiedBy>
  <cp:revision>12</cp:revision>
  <dcterms:created xsi:type="dcterms:W3CDTF">2020-12-01T21:11:00Z</dcterms:created>
  <dcterms:modified xsi:type="dcterms:W3CDTF">2020-12-10T15:19:00Z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id="zItcX7bn"/&gt;&lt;style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